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8305F0" w14:textId="77777777" w:rsidR="00026324" w:rsidRPr="00026324" w:rsidRDefault="00026324" w:rsidP="00026324">
      <w:pPr>
        <w:shd w:val="clear" w:color="auto" w:fill="FFFFFF"/>
        <w:spacing w:before="225" w:after="225" w:line="600" w:lineRule="atLeast"/>
        <w:outlineLvl w:val="1"/>
        <w:rPr>
          <w:rFonts w:ascii="Open Sans" w:eastAsia="Times New Roman" w:hAnsi="Open Sans" w:cs="Open Sans"/>
          <w:color w:val="444444"/>
          <w:kern w:val="0"/>
          <w:sz w:val="48"/>
          <w:szCs w:val="48"/>
          <w:lang w:eastAsia="ru-RU"/>
          <w14:ligatures w14:val="none"/>
        </w:rPr>
      </w:pPr>
      <w:r w:rsidRPr="00026324">
        <w:rPr>
          <w:rFonts w:ascii="Open Sans" w:eastAsia="Times New Roman" w:hAnsi="Open Sans" w:cs="Open Sans"/>
          <w:color w:val="444444"/>
          <w:kern w:val="0"/>
          <w:sz w:val="48"/>
          <w:szCs w:val="48"/>
          <w:lang w:eastAsia="ru-RU"/>
          <w14:ligatures w14:val="none"/>
        </w:rPr>
        <w:t>Физико-химические основы техники течеискания.</w:t>
      </w:r>
    </w:p>
    <w:p w14:paraId="2C87A1BA" w14:textId="77777777" w:rsidR="00026324" w:rsidRPr="00026324" w:rsidRDefault="00026324" w:rsidP="00026324">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026324">
        <w:rPr>
          <w:rFonts w:ascii="Open Sans" w:eastAsia="Times New Roman" w:hAnsi="Open Sans" w:cs="Open Sans"/>
          <w:color w:val="444444"/>
          <w:kern w:val="0"/>
          <w:sz w:val="21"/>
          <w:szCs w:val="21"/>
          <w:lang w:eastAsia="ru-RU"/>
          <w14:ligatures w14:val="none"/>
        </w:rPr>
        <w:t>Физические представления о течении пробных газов. Течь как сквозной канал может иметь самую неопределенную геометрическую структуру, прогнозировать которую практически невозможно. Тем не менее задачи расчета потоков пробного газа через течи и определения чувствительности испытаний продолжают оставаться актуальными. В этой ситуации принимают идеализированные модели течей, используют ориентировочные расчетные соотношения, вводят многочисленные приближения.</w:t>
      </w:r>
    </w:p>
    <w:p w14:paraId="6A5438BB" w14:textId="463BCFD0" w:rsidR="00026324" w:rsidRPr="00026324" w:rsidRDefault="00026324" w:rsidP="00026324">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026324">
        <w:rPr>
          <w:rFonts w:ascii="Open Sans" w:eastAsia="Times New Roman" w:hAnsi="Open Sans" w:cs="Open Sans"/>
          <w:color w:val="444444"/>
          <w:kern w:val="0"/>
          <w:sz w:val="21"/>
          <w:szCs w:val="21"/>
          <w:lang w:eastAsia="ru-RU"/>
          <w14:ligatures w14:val="none"/>
        </w:rPr>
        <w:t>Таблица 10.5</w:t>
      </w:r>
      <w:r w:rsidRPr="00026324">
        <w:rPr>
          <w:rFonts w:ascii="Open Sans" w:eastAsia="Times New Roman" w:hAnsi="Open Sans" w:cs="Open Sans"/>
          <w:color w:val="444444"/>
          <w:kern w:val="0"/>
          <w:sz w:val="21"/>
          <w:szCs w:val="21"/>
          <w:lang w:eastAsia="ru-RU"/>
          <w14:ligatures w14:val="none"/>
        </w:rPr>
        <w:br/>
        <w:t>Зависимость длины свободного пробега молекул гелия и воздуха от давления</w:t>
      </w:r>
      <w:r w:rsidRPr="00026324">
        <w:rPr>
          <w:rFonts w:ascii="Open Sans" w:eastAsia="Times New Roman" w:hAnsi="Open Sans" w:cs="Open Sans"/>
          <w:color w:val="444444"/>
          <w:kern w:val="0"/>
          <w:sz w:val="21"/>
          <w:szCs w:val="21"/>
          <w:lang w:eastAsia="ru-RU"/>
          <w14:ligatures w14:val="none"/>
        </w:rPr>
        <w:br/>
      </w:r>
      <w:r w:rsidRPr="00026324">
        <w:rPr>
          <w:rFonts w:ascii="Open Sans" w:eastAsia="Times New Roman" w:hAnsi="Open Sans" w:cs="Open Sans"/>
          <w:noProof/>
          <w:color w:val="444444"/>
          <w:kern w:val="0"/>
          <w:sz w:val="21"/>
          <w:szCs w:val="21"/>
          <w:lang w:eastAsia="ru-RU"/>
          <w14:ligatures w14:val="none"/>
        </w:rPr>
        <w:drawing>
          <wp:inline distT="0" distB="0" distL="0" distR="0" wp14:anchorId="5F6FFBD9" wp14:editId="4A6600DC">
            <wp:extent cx="5768340" cy="746760"/>
            <wp:effectExtent l="0" t="0" r="3810" b="0"/>
            <wp:docPr id="1946596044"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68340" cy="746760"/>
                    </a:xfrm>
                    <a:prstGeom prst="rect">
                      <a:avLst/>
                    </a:prstGeom>
                    <a:noFill/>
                    <a:ln>
                      <a:noFill/>
                    </a:ln>
                  </pic:spPr>
                </pic:pic>
              </a:graphicData>
            </a:graphic>
          </wp:inline>
        </w:drawing>
      </w:r>
    </w:p>
    <w:p w14:paraId="3C1147CF" w14:textId="45FC9BBC" w:rsidR="00026324" w:rsidRPr="00026324" w:rsidRDefault="00026324" w:rsidP="00026324">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026324">
        <w:rPr>
          <w:rFonts w:ascii="Open Sans" w:eastAsia="Times New Roman" w:hAnsi="Open Sans" w:cs="Open Sans"/>
          <w:color w:val="444444"/>
          <w:kern w:val="0"/>
          <w:sz w:val="21"/>
          <w:szCs w:val="21"/>
          <w:lang w:eastAsia="ru-RU"/>
          <w14:ligatures w14:val="none"/>
        </w:rPr>
        <w:t>Физические представления о течении газа через сквозные дефекты базируются на работах ученых в области аэродинамики, механики сплошной среды, вакуумной техники, течеискания. Вид течения в каналах течей характеризуется безразмерным параметром, называемым числом Кнудсена (Кn). Этот параметр определяется как отношение средней длины свободного пробега молекул (λ0) к характерному размеру канала (</w:t>
      </w:r>
      <w:r w:rsidRPr="00026324">
        <w:rPr>
          <w:rFonts w:ascii="Open Sans" w:eastAsia="Times New Roman" w:hAnsi="Open Sans" w:cs="Open Sans"/>
          <w:i/>
          <w:iCs/>
          <w:color w:val="DD0055"/>
          <w:kern w:val="0"/>
          <w:sz w:val="21"/>
          <w:szCs w:val="21"/>
          <w:lang w:eastAsia="ru-RU"/>
          <w14:ligatures w14:val="none"/>
        </w:rPr>
        <w:t>а</w:t>
      </w:r>
      <w:r w:rsidRPr="00026324">
        <w:rPr>
          <w:rFonts w:ascii="Open Sans" w:eastAsia="Times New Roman" w:hAnsi="Open Sans" w:cs="Open Sans"/>
          <w:color w:val="444444"/>
          <w:kern w:val="0"/>
          <w:sz w:val="21"/>
          <w:szCs w:val="21"/>
          <w:lang w:eastAsia="ru-RU"/>
          <w14:ligatures w14:val="none"/>
        </w:rPr>
        <w:t>), по которому протекает газ: Кn=λ0/</w:t>
      </w:r>
      <w:r w:rsidRPr="00026324">
        <w:rPr>
          <w:rFonts w:ascii="Open Sans" w:eastAsia="Times New Roman" w:hAnsi="Open Sans" w:cs="Open Sans"/>
          <w:i/>
          <w:iCs/>
          <w:color w:val="DD0055"/>
          <w:kern w:val="0"/>
          <w:sz w:val="21"/>
          <w:szCs w:val="21"/>
          <w:lang w:eastAsia="ru-RU"/>
          <w14:ligatures w14:val="none"/>
        </w:rPr>
        <w:t>а</w:t>
      </w:r>
      <w:r w:rsidRPr="00026324">
        <w:rPr>
          <w:rFonts w:ascii="Open Sans" w:eastAsia="Times New Roman" w:hAnsi="Open Sans" w:cs="Open Sans"/>
          <w:color w:val="444444"/>
          <w:kern w:val="0"/>
          <w:sz w:val="21"/>
          <w:szCs w:val="21"/>
          <w:lang w:eastAsia="ru-RU"/>
          <w14:ligatures w14:val="none"/>
        </w:rPr>
        <w:t>.</w:t>
      </w:r>
      <w:r w:rsidRPr="00026324">
        <w:rPr>
          <w:rFonts w:ascii="Open Sans" w:eastAsia="Times New Roman" w:hAnsi="Open Sans" w:cs="Open Sans"/>
          <w:color w:val="444444"/>
          <w:kern w:val="0"/>
          <w:sz w:val="21"/>
          <w:szCs w:val="21"/>
          <w:lang w:eastAsia="ru-RU"/>
          <w14:ligatures w14:val="none"/>
        </w:rPr>
        <w:br/>
        <w:t>При относительно больших давлениях газ ведет себя как сплошная среда (число Кнудсена мало, Кn£0,01) — течение вязкостное. При низких давлениях газа средняя длина свободного пробега молекул велика по сравнению с характерным размером канала и течение газа характеризуется столкновениями молекул со стенками течи. Такое течение газа называют молекулярным (Кn&gt;1).</w:t>
      </w:r>
      <w:r w:rsidRPr="00026324">
        <w:rPr>
          <w:rFonts w:ascii="Open Sans" w:eastAsia="Times New Roman" w:hAnsi="Open Sans" w:cs="Open Sans"/>
          <w:color w:val="444444"/>
          <w:kern w:val="0"/>
          <w:sz w:val="21"/>
          <w:szCs w:val="21"/>
          <w:lang w:eastAsia="ru-RU"/>
          <w14:ligatures w14:val="none"/>
        </w:rPr>
        <w:br/>
        <w:t>При переходе значения Кn через 0,01 не сразу наступает молекулярное течение. В диапазоне значений 0,01£Кn£0,1 еще можно пользоваться уравнениями движения сплошной среды, но приходится учитывать скачки скорости из температуры газа вблизи стенки (так называемое скольжение газа). При значениях 0,1&lt;Кn&lt;1 наблюдается переходный режим от течения со скольжением к свободно-молекулярному.</w:t>
      </w:r>
      <w:r w:rsidRPr="00026324">
        <w:rPr>
          <w:rFonts w:ascii="Open Sans" w:eastAsia="Times New Roman" w:hAnsi="Open Sans" w:cs="Open Sans"/>
          <w:color w:val="444444"/>
          <w:kern w:val="0"/>
          <w:sz w:val="21"/>
          <w:szCs w:val="21"/>
          <w:lang w:eastAsia="ru-RU"/>
          <w14:ligatures w14:val="none"/>
        </w:rPr>
        <w:br/>
        <w:t>В табл. 10.5 в качестве примера приведены значения длин свободного пробега молекул гелия и воздуха при Т = 293 К. Расчет выполнен по формуле (10.34):</w:t>
      </w:r>
      <w:r w:rsidRPr="00026324">
        <w:rPr>
          <w:rFonts w:ascii="Open Sans" w:eastAsia="Times New Roman" w:hAnsi="Open Sans" w:cs="Open Sans"/>
          <w:color w:val="444444"/>
          <w:kern w:val="0"/>
          <w:sz w:val="21"/>
          <w:szCs w:val="21"/>
          <w:lang w:eastAsia="ru-RU"/>
          <w14:ligatures w14:val="none"/>
        </w:rPr>
        <w:br/>
      </w:r>
      <w:r w:rsidRPr="00026324">
        <w:rPr>
          <w:rFonts w:ascii="Open Sans" w:eastAsia="Times New Roman" w:hAnsi="Open Sans" w:cs="Open Sans"/>
          <w:noProof/>
          <w:color w:val="444444"/>
          <w:kern w:val="0"/>
          <w:sz w:val="21"/>
          <w:szCs w:val="21"/>
          <w:lang w:eastAsia="ru-RU"/>
          <w14:ligatures w14:val="none"/>
        </w:rPr>
        <w:drawing>
          <wp:inline distT="0" distB="0" distL="0" distR="0" wp14:anchorId="661DA8CB" wp14:editId="01702308">
            <wp:extent cx="1226820" cy="426720"/>
            <wp:effectExtent l="0" t="0" r="0" b="0"/>
            <wp:docPr id="1121923946"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26820" cy="426720"/>
                    </a:xfrm>
                    <a:prstGeom prst="rect">
                      <a:avLst/>
                    </a:prstGeom>
                    <a:noFill/>
                    <a:ln>
                      <a:noFill/>
                    </a:ln>
                  </pic:spPr>
                </pic:pic>
              </a:graphicData>
            </a:graphic>
          </wp:inline>
        </w:drawing>
      </w:r>
      <w:r w:rsidRPr="00026324">
        <w:rPr>
          <w:rFonts w:ascii="Open Sans" w:eastAsia="Times New Roman" w:hAnsi="Open Sans" w:cs="Open Sans"/>
          <w:color w:val="444444"/>
          <w:kern w:val="0"/>
          <w:sz w:val="21"/>
          <w:szCs w:val="21"/>
          <w:lang w:eastAsia="ru-RU"/>
          <w14:ligatures w14:val="none"/>
        </w:rPr>
        <w:t>                                                     (10.24)</w:t>
      </w:r>
      <w:r w:rsidRPr="00026324">
        <w:rPr>
          <w:rFonts w:ascii="Open Sans" w:eastAsia="Times New Roman" w:hAnsi="Open Sans" w:cs="Open Sans"/>
          <w:color w:val="444444"/>
          <w:kern w:val="0"/>
          <w:sz w:val="21"/>
          <w:szCs w:val="21"/>
          <w:lang w:eastAsia="ru-RU"/>
          <w14:ligatures w14:val="none"/>
        </w:rPr>
        <w:br/>
        <w:t>Для воздуха </w:t>
      </w:r>
      <w:r w:rsidRPr="00026324">
        <w:rPr>
          <w:rFonts w:ascii="Open Sans" w:eastAsia="Times New Roman" w:hAnsi="Open Sans" w:cs="Open Sans"/>
          <w:i/>
          <w:iCs/>
          <w:color w:val="DD0055"/>
          <w:kern w:val="0"/>
          <w:sz w:val="21"/>
          <w:szCs w:val="21"/>
          <w:lang w:eastAsia="ru-RU"/>
          <w14:ligatures w14:val="none"/>
        </w:rPr>
        <w:t>d</w:t>
      </w:r>
      <w:r w:rsidRPr="00026324">
        <w:rPr>
          <w:rFonts w:ascii="Open Sans" w:eastAsia="Times New Roman" w:hAnsi="Open Sans" w:cs="Open Sans"/>
          <w:color w:val="444444"/>
          <w:kern w:val="0"/>
          <w:sz w:val="21"/>
          <w:szCs w:val="21"/>
          <w:lang w:eastAsia="ru-RU"/>
          <w14:ligatures w14:val="none"/>
        </w:rPr>
        <w:t>0 = 3,75•10-10 м; для гелия </w:t>
      </w:r>
      <w:r w:rsidRPr="00026324">
        <w:rPr>
          <w:rFonts w:ascii="Open Sans" w:eastAsia="Times New Roman" w:hAnsi="Open Sans" w:cs="Open Sans"/>
          <w:i/>
          <w:iCs/>
          <w:color w:val="DD0055"/>
          <w:kern w:val="0"/>
          <w:sz w:val="21"/>
          <w:szCs w:val="21"/>
          <w:lang w:eastAsia="ru-RU"/>
          <w14:ligatures w14:val="none"/>
        </w:rPr>
        <w:t>d</w:t>
      </w:r>
      <w:r w:rsidRPr="00026324">
        <w:rPr>
          <w:rFonts w:ascii="Open Sans" w:eastAsia="Times New Roman" w:hAnsi="Open Sans" w:cs="Open Sans"/>
          <w:color w:val="444444"/>
          <w:kern w:val="0"/>
          <w:sz w:val="21"/>
          <w:szCs w:val="21"/>
          <w:lang w:eastAsia="ru-RU"/>
          <w14:ligatures w14:val="none"/>
        </w:rPr>
        <w:t>0 = 2,18•10-10 м.</w:t>
      </w:r>
      <w:r w:rsidRPr="00026324">
        <w:rPr>
          <w:rFonts w:ascii="Open Sans" w:eastAsia="Times New Roman" w:hAnsi="Open Sans" w:cs="Open Sans"/>
          <w:color w:val="444444"/>
          <w:kern w:val="0"/>
          <w:sz w:val="21"/>
          <w:szCs w:val="21"/>
          <w:lang w:eastAsia="ru-RU"/>
          <w14:ligatures w14:val="none"/>
        </w:rPr>
        <w:br/>
        <w:t>Определим значения числа Кнудсена, пользуясь данными табл. 10.5 и задавшись некоторым производным размером течи. Примем в качестве характерного размера а диаметр канала течи d = 1•10-4 м. Подсчет показывает, что число Кнудсена Кт = λ0/</w:t>
      </w:r>
      <w:r w:rsidRPr="00026324">
        <w:rPr>
          <w:rFonts w:ascii="Open Sans" w:eastAsia="Times New Roman" w:hAnsi="Open Sans" w:cs="Open Sans"/>
          <w:i/>
          <w:iCs/>
          <w:color w:val="DD0055"/>
          <w:kern w:val="0"/>
          <w:sz w:val="21"/>
          <w:szCs w:val="21"/>
          <w:lang w:eastAsia="ru-RU"/>
          <w14:ligatures w14:val="none"/>
        </w:rPr>
        <w:t>а</w:t>
      </w:r>
      <w:r w:rsidRPr="00026324">
        <w:rPr>
          <w:rFonts w:ascii="Open Sans" w:eastAsia="Times New Roman" w:hAnsi="Open Sans" w:cs="Open Sans"/>
          <w:color w:val="444444"/>
          <w:kern w:val="0"/>
          <w:sz w:val="21"/>
          <w:szCs w:val="21"/>
          <w:lang w:eastAsia="ru-RU"/>
          <w14:ligatures w14:val="none"/>
        </w:rPr>
        <w:t> &gt; 1 даже при сравнительно небольшом разрежении 1,33•101 Па, т.е. режим течения соответствует молекулярному. Вязкостный режим течения может быть обеспечен либо за счет увеличения диаметра канала течи, либо за счет повышения давления, газа в течи. Если принять размер диаметра течи прежним (1•10-4 м), а давление увеличить до 66,5•102 Па (50 мм рт. ст.), то для воздуха число Кнудсена Кn = 9,7•10-3, т.е. Кn£0,01. Это означает, что режим течения воздуха в течи при принятых значениях </w:t>
      </w:r>
      <w:r w:rsidRPr="00026324">
        <w:rPr>
          <w:rFonts w:ascii="Open Sans" w:eastAsia="Times New Roman" w:hAnsi="Open Sans" w:cs="Open Sans"/>
          <w:i/>
          <w:iCs/>
          <w:color w:val="DD0055"/>
          <w:kern w:val="0"/>
          <w:sz w:val="21"/>
          <w:szCs w:val="21"/>
          <w:lang w:eastAsia="ru-RU"/>
          <w14:ligatures w14:val="none"/>
        </w:rPr>
        <w:t>а</w:t>
      </w:r>
      <w:r w:rsidRPr="00026324">
        <w:rPr>
          <w:rFonts w:ascii="Open Sans" w:eastAsia="Times New Roman" w:hAnsi="Open Sans" w:cs="Open Sans"/>
          <w:color w:val="444444"/>
          <w:kern w:val="0"/>
          <w:sz w:val="21"/>
          <w:szCs w:val="21"/>
          <w:lang w:eastAsia="ru-RU"/>
          <w14:ligatures w14:val="none"/>
        </w:rPr>
        <w:t xml:space="preserve"> и λ0 оказывается </w:t>
      </w:r>
      <w:r w:rsidRPr="00026324">
        <w:rPr>
          <w:rFonts w:ascii="Open Sans" w:eastAsia="Times New Roman" w:hAnsi="Open Sans" w:cs="Open Sans"/>
          <w:color w:val="444444"/>
          <w:kern w:val="0"/>
          <w:sz w:val="21"/>
          <w:szCs w:val="21"/>
          <w:lang w:eastAsia="ru-RU"/>
          <w14:ligatures w14:val="none"/>
        </w:rPr>
        <w:lastRenderedPageBreak/>
        <w:t>вязкостным. Этот же режим течения газа может быть обеспечен при давлении 1,33•101 Па (λ0 = 4,85•10-4 м), но при </w:t>
      </w:r>
      <w:r w:rsidRPr="00026324">
        <w:rPr>
          <w:rFonts w:ascii="Open Sans" w:eastAsia="Times New Roman" w:hAnsi="Open Sans" w:cs="Open Sans"/>
          <w:i/>
          <w:iCs/>
          <w:color w:val="DD0055"/>
          <w:kern w:val="0"/>
          <w:sz w:val="21"/>
          <w:szCs w:val="21"/>
          <w:lang w:eastAsia="ru-RU"/>
          <w14:ligatures w14:val="none"/>
        </w:rPr>
        <w:t>а</w:t>
      </w:r>
      <w:r w:rsidRPr="00026324">
        <w:rPr>
          <w:rFonts w:ascii="Open Sans" w:eastAsia="Times New Roman" w:hAnsi="Open Sans" w:cs="Open Sans"/>
          <w:color w:val="444444"/>
          <w:kern w:val="0"/>
          <w:sz w:val="21"/>
          <w:szCs w:val="21"/>
          <w:lang w:eastAsia="ru-RU"/>
          <w14:ligatures w14:val="none"/>
        </w:rPr>
        <w:t> = 5•10-2 м.</w:t>
      </w:r>
      <w:r w:rsidRPr="00026324">
        <w:rPr>
          <w:rFonts w:ascii="Open Sans" w:eastAsia="Times New Roman" w:hAnsi="Open Sans" w:cs="Open Sans"/>
          <w:color w:val="444444"/>
          <w:kern w:val="0"/>
          <w:sz w:val="21"/>
          <w:szCs w:val="21"/>
          <w:lang w:eastAsia="ru-RU"/>
          <w14:ligatures w14:val="none"/>
        </w:rPr>
        <w:br/>
        <w:t>Течение со скольжением и переходный режим имеют место в течах достаточно большой протяженности. При этих режимах течения существенное значение приобретает внутреннее трение, роль которого возрастает с увеличением длины течи.</w:t>
      </w:r>
      <w:r w:rsidRPr="00026324">
        <w:rPr>
          <w:rFonts w:ascii="Open Sans" w:eastAsia="Times New Roman" w:hAnsi="Open Sans" w:cs="Open Sans"/>
          <w:color w:val="444444"/>
          <w:kern w:val="0"/>
          <w:sz w:val="21"/>
          <w:szCs w:val="21"/>
          <w:lang w:eastAsia="ru-RU"/>
          <w14:ligatures w14:val="none"/>
        </w:rPr>
        <w:br/>
        <w:t>При течении газа как сплашной среды необходимо различать, два случая: когда влияние вязкости мало и когда влияние вязкости велико. В первом случае применяется модель истечения газа через отверстие в тонкой стенке, во втором — модель движения), газа через течи достаточно большой протяженности.</w:t>
      </w:r>
      <w:r w:rsidRPr="00026324">
        <w:rPr>
          <w:rFonts w:ascii="Open Sans" w:eastAsia="Times New Roman" w:hAnsi="Open Sans" w:cs="Open Sans"/>
          <w:color w:val="444444"/>
          <w:kern w:val="0"/>
          <w:sz w:val="21"/>
          <w:szCs w:val="21"/>
          <w:lang w:eastAsia="ru-RU"/>
          <w14:ligatures w14:val="none"/>
        </w:rPr>
        <w:br/>
        <w:t>Как отмечалось ранее, структура течей весьма неопределенна. Поэтому установить режим течения газа и выбрать соответствующую формулу для расчета потока не всегда просто. Воспользуемся универсальной формулой Кнудсена, которая имеет вид</w:t>
      </w:r>
      <w:r w:rsidRPr="00026324">
        <w:rPr>
          <w:rFonts w:ascii="Open Sans" w:eastAsia="Times New Roman" w:hAnsi="Open Sans" w:cs="Open Sans"/>
          <w:color w:val="444444"/>
          <w:kern w:val="0"/>
          <w:sz w:val="21"/>
          <w:szCs w:val="21"/>
          <w:lang w:eastAsia="ru-RU"/>
          <w14:ligatures w14:val="none"/>
        </w:rPr>
        <w:br/>
      </w:r>
      <w:r w:rsidRPr="00026324">
        <w:rPr>
          <w:rFonts w:ascii="Open Sans" w:eastAsia="Times New Roman" w:hAnsi="Open Sans" w:cs="Open Sans"/>
          <w:noProof/>
          <w:color w:val="444444"/>
          <w:kern w:val="0"/>
          <w:sz w:val="21"/>
          <w:szCs w:val="21"/>
          <w:lang w:eastAsia="ru-RU"/>
          <w14:ligatures w14:val="none"/>
        </w:rPr>
        <w:drawing>
          <wp:inline distT="0" distB="0" distL="0" distR="0" wp14:anchorId="1AE16258" wp14:editId="676FE929">
            <wp:extent cx="998220" cy="228600"/>
            <wp:effectExtent l="0" t="0" r="0" b="0"/>
            <wp:docPr id="93095911"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98220" cy="228600"/>
                    </a:xfrm>
                    <a:prstGeom prst="rect">
                      <a:avLst/>
                    </a:prstGeom>
                    <a:noFill/>
                    <a:ln>
                      <a:noFill/>
                    </a:ln>
                  </pic:spPr>
                </pic:pic>
              </a:graphicData>
            </a:graphic>
          </wp:inline>
        </w:drawing>
      </w:r>
      <w:r w:rsidRPr="00026324">
        <w:rPr>
          <w:rFonts w:ascii="Open Sans" w:eastAsia="Times New Roman" w:hAnsi="Open Sans" w:cs="Open Sans"/>
          <w:color w:val="444444"/>
          <w:kern w:val="0"/>
          <w:sz w:val="21"/>
          <w:szCs w:val="21"/>
          <w:lang w:eastAsia="ru-RU"/>
          <w14:ligatures w14:val="none"/>
        </w:rPr>
        <w:t>                                                                (10.25)</w:t>
      </w:r>
      <w:r w:rsidRPr="00026324">
        <w:rPr>
          <w:rFonts w:ascii="Open Sans" w:eastAsia="Times New Roman" w:hAnsi="Open Sans" w:cs="Open Sans"/>
          <w:color w:val="444444"/>
          <w:kern w:val="0"/>
          <w:sz w:val="21"/>
          <w:szCs w:val="21"/>
          <w:lang w:eastAsia="ru-RU"/>
          <w14:ligatures w14:val="none"/>
        </w:rPr>
        <w:br/>
        <w:t>где Z — эмпирическая функция, зависящая от давления в системе и диаметра течи (она колеблется от 0,8 до 1,0); </w:t>
      </w:r>
      <w:r w:rsidRPr="00026324">
        <w:rPr>
          <w:rFonts w:ascii="Open Sans" w:eastAsia="Times New Roman" w:hAnsi="Open Sans" w:cs="Open Sans"/>
          <w:i/>
          <w:iCs/>
          <w:color w:val="DD0055"/>
          <w:kern w:val="0"/>
          <w:sz w:val="21"/>
          <w:szCs w:val="21"/>
          <w:lang w:eastAsia="ru-RU"/>
          <w14:ligatures w14:val="none"/>
        </w:rPr>
        <w:t>G</w:t>
      </w:r>
      <w:r w:rsidRPr="00026324">
        <w:rPr>
          <w:rFonts w:ascii="Open Sans" w:eastAsia="Times New Roman" w:hAnsi="Open Sans" w:cs="Open Sans"/>
          <w:color w:val="444444"/>
          <w:kern w:val="0"/>
          <w:sz w:val="21"/>
          <w:szCs w:val="21"/>
          <w:lang w:eastAsia="ru-RU"/>
          <w14:ligatures w14:val="none"/>
        </w:rPr>
        <w:t>вяз — проводимость для вязкостных условий; </w:t>
      </w:r>
      <w:r w:rsidRPr="00026324">
        <w:rPr>
          <w:rFonts w:ascii="Open Sans" w:eastAsia="Times New Roman" w:hAnsi="Open Sans" w:cs="Open Sans"/>
          <w:i/>
          <w:iCs/>
          <w:color w:val="DD0055"/>
          <w:kern w:val="0"/>
          <w:sz w:val="21"/>
          <w:szCs w:val="21"/>
          <w:lang w:eastAsia="ru-RU"/>
          <w14:ligatures w14:val="none"/>
        </w:rPr>
        <w:t>G</w:t>
      </w:r>
      <w:r w:rsidRPr="00026324">
        <w:rPr>
          <w:rFonts w:ascii="Open Sans" w:eastAsia="Times New Roman" w:hAnsi="Open Sans" w:cs="Open Sans"/>
          <w:color w:val="444444"/>
          <w:kern w:val="0"/>
          <w:sz w:val="21"/>
          <w:szCs w:val="21"/>
          <w:lang w:eastAsia="ru-RU"/>
          <w14:ligatures w14:val="none"/>
        </w:rPr>
        <w:t>м — проводимость для молекулярных условий; </w:t>
      </w:r>
      <w:r w:rsidRPr="00026324">
        <w:rPr>
          <w:rFonts w:ascii="Open Sans" w:eastAsia="Times New Roman" w:hAnsi="Open Sans" w:cs="Open Sans"/>
          <w:i/>
          <w:iCs/>
          <w:color w:val="DD0055"/>
          <w:kern w:val="0"/>
          <w:sz w:val="21"/>
          <w:szCs w:val="21"/>
          <w:lang w:eastAsia="ru-RU"/>
          <w14:ligatures w14:val="none"/>
        </w:rPr>
        <w:t>G</w:t>
      </w:r>
      <w:r w:rsidRPr="00026324">
        <w:rPr>
          <w:rFonts w:ascii="Open Sans" w:eastAsia="Times New Roman" w:hAnsi="Open Sans" w:cs="Open Sans"/>
          <w:color w:val="444444"/>
          <w:kern w:val="0"/>
          <w:sz w:val="21"/>
          <w:szCs w:val="21"/>
          <w:lang w:eastAsia="ru-RU"/>
          <w14:ligatures w14:val="none"/>
        </w:rPr>
        <w:t> — полная проводимость, м3/с.</w:t>
      </w:r>
      <w:r w:rsidRPr="00026324">
        <w:rPr>
          <w:rFonts w:ascii="Open Sans" w:eastAsia="Times New Roman" w:hAnsi="Open Sans" w:cs="Open Sans"/>
          <w:color w:val="444444"/>
          <w:kern w:val="0"/>
          <w:sz w:val="21"/>
          <w:szCs w:val="21"/>
          <w:lang w:eastAsia="ru-RU"/>
          <w14:ligatures w14:val="none"/>
        </w:rPr>
        <w:br/>
        <w:t>Рассмотрим методику определения потока на основе анализа проводимости (пропускной способности).</w:t>
      </w:r>
      <w:r w:rsidRPr="00026324">
        <w:rPr>
          <w:rFonts w:ascii="Open Sans" w:eastAsia="Times New Roman" w:hAnsi="Open Sans" w:cs="Open Sans"/>
          <w:color w:val="444444"/>
          <w:kern w:val="0"/>
          <w:sz w:val="21"/>
          <w:szCs w:val="21"/>
          <w:lang w:eastAsia="ru-RU"/>
          <w14:ligatures w14:val="none"/>
        </w:rPr>
        <w:br/>
        <w:t>Проводимость G определяют по формуле</w:t>
      </w:r>
      <w:r w:rsidRPr="00026324">
        <w:rPr>
          <w:rFonts w:ascii="Open Sans" w:eastAsia="Times New Roman" w:hAnsi="Open Sans" w:cs="Open Sans"/>
          <w:color w:val="444444"/>
          <w:kern w:val="0"/>
          <w:sz w:val="21"/>
          <w:szCs w:val="21"/>
          <w:lang w:eastAsia="ru-RU"/>
          <w14:ligatures w14:val="none"/>
        </w:rPr>
        <w:br/>
      </w:r>
      <w:r w:rsidRPr="00026324">
        <w:rPr>
          <w:rFonts w:ascii="Open Sans" w:eastAsia="Times New Roman" w:hAnsi="Open Sans" w:cs="Open Sans"/>
          <w:noProof/>
          <w:color w:val="444444"/>
          <w:kern w:val="0"/>
          <w:sz w:val="21"/>
          <w:szCs w:val="21"/>
          <w:lang w:eastAsia="ru-RU"/>
          <w14:ligatures w14:val="none"/>
        </w:rPr>
        <w:drawing>
          <wp:inline distT="0" distB="0" distL="0" distR="0" wp14:anchorId="53868157" wp14:editId="00C91F44">
            <wp:extent cx="990600" cy="220980"/>
            <wp:effectExtent l="0" t="0" r="0" b="7620"/>
            <wp:docPr id="39767457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90600" cy="220980"/>
                    </a:xfrm>
                    <a:prstGeom prst="rect">
                      <a:avLst/>
                    </a:prstGeom>
                    <a:noFill/>
                    <a:ln>
                      <a:noFill/>
                    </a:ln>
                  </pic:spPr>
                </pic:pic>
              </a:graphicData>
            </a:graphic>
          </wp:inline>
        </w:drawing>
      </w:r>
      <w:r w:rsidRPr="00026324">
        <w:rPr>
          <w:rFonts w:ascii="Open Sans" w:eastAsia="Times New Roman" w:hAnsi="Open Sans" w:cs="Open Sans"/>
          <w:color w:val="444444"/>
          <w:kern w:val="0"/>
          <w:sz w:val="21"/>
          <w:szCs w:val="21"/>
          <w:lang w:eastAsia="ru-RU"/>
          <w14:ligatures w14:val="none"/>
        </w:rPr>
        <w:t>                                                    (10.26)</w:t>
      </w:r>
      <w:r w:rsidRPr="00026324">
        <w:rPr>
          <w:rFonts w:ascii="Open Sans" w:eastAsia="Times New Roman" w:hAnsi="Open Sans" w:cs="Open Sans"/>
          <w:color w:val="444444"/>
          <w:kern w:val="0"/>
          <w:sz w:val="21"/>
          <w:szCs w:val="21"/>
          <w:lang w:eastAsia="ru-RU"/>
          <w14:ligatures w14:val="none"/>
        </w:rPr>
        <w:br/>
        <w:t>где </w:t>
      </w:r>
      <w:r w:rsidRPr="00026324">
        <w:rPr>
          <w:rFonts w:ascii="Open Sans" w:eastAsia="Times New Roman" w:hAnsi="Open Sans" w:cs="Open Sans"/>
          <w:i/>
          <w:iCs/>
          <w:color w:val="DD0055"/>
          <w:kern w:val="0"/>
          <w:sz w:val="21"/>
          <w:szCs w:val="21"/>
          <w:lang w:eastAsia="ru-RU"/>
          <w14:ligatures w14:val="none"/>
        </w:rPr>
        <w:t>P</w:t>
      </w:r>
      <w:r w:rsidRPr="00026324">
        <w:rPr>
          <w:rFonts w:ascii="Open Sans" w:eastAsia="Times New Roman" w:hAnsi="Open Sans" w:cs="Open Sans"/>
          <w:color w:val="444444"/>
          <w:kern w:val="0"/>
          <w:sz w:val="21"/>
          <w:szCs w:val="21"/>
          <w:lang w:eastAsia="ru-RU"/>
          <w14:ligatures w14:val="none"/>
        </w:rPr>
        <w:t>1 и </w:t>
      </w:r>
      <w:r w:rsidRPr="00026324">
        <w:rPr>
          <w:rFonts w:ascii="Open Sans" w:eastAsia="Times New Roman" w:hAnsi="Open Sans" w:cs="Open Sans"/>
          <w:i/>
          <w:iCs/>
          <w:color w:val="DD0055"/>
          <w:kern w:val="0"/>
          <w:sz w:val="21"/>
          <w:szCs w:val="21"/>
          <w:lang w:eastAsia="ru-RU"/>
          <w14:ligatures w14:val="none"/>
        </w:rPr>
        <w:t>Р</w:t>
      </w:r>
      <w:r w:rsidRPr="00026324">
        <w:rPr>
          <w:rFonts w:ascii="Open Sans" w:eastAsia="Times New Roman" w:hAnsi="Open Sans" w:cs="Open Sans"/>
          <w:color w:val="444444"/>
          <w:kern w:val="0"/>
          <w:sz w:val="21"/>
          <w:szCs w:val="21"/>
          <w:lang w:eastAsia="ru-RU"/>
          <w14:ligatures w14:val="none"/>
        </w:rPr>
        <w:t>2 — давления, измеряемые  у выхода и входа в канал. Термин «проводимостью  заимствован из электротехники. При этом аналогом давления служит электрический потенциал, а аналогом потока — электрический ток. Продолжая аналогию, величину G-1 = W называют сопротивлением.</w:t>
      </w:r>
      <w:r w:rsidRPr="00026324">
        <w:rPr>
          <w:rFonts w:ascii="Open Sans" w:eastAsia="Times New Roman" w:hAnsi="Open Sans" w:cs="Open Sans"/>
          <w:color w:val="444444"/>
          <w:kern w:val="0"/>
          <w:sz w:val="21"/>
          <w:szCs w:val="21"/>
          <w:lang w:eastAsia="ru-RU"/>
          <w14:ligatures w14:val="none"/>
        </w:rPr>
        <w:br/>
        <w:t>Принимая Z в уравнении (10.25) равную среднему значению 0,9, получим</w:t>
      </w:r>
      <w:r w:rsidRPr="00026324">
        <w:rPr>
          <w:rFonts w:ascii="Open Sans" w:eastAsia="Times New Roman" w:hAnsi="Open Sans" w:cs="Open Sans"/>
          <w:color w:val="444444"/>
          <w:kern w:val="0"/>
          <w:sz w:val="21"/>
          <w:szCs w:val="21"/>
          <w:lang w:eastAsia="ru-RU"/>
          <w14:ligatures w14:val="none"/>
        </w:rPr>
        <w:br/>
      </w:r>
      <w:r w:rsidRPr="00026324">
        <w:rPr>
          <w:rFonts w:ascii="Open Sans" w:eastAsia="Times New Roman" w:hAnsi="Open Sans" w:cs="Open Sans"/>
          <w:noProof/>
          <w:color w:val="444444"/>
          <w:kern w:val="0"/>
          <w:sz w:val="21"/>
          <w:szCs w:val="21"/>
          <w:lang w:eastAsia="ru-RU"/>
          <w14:ligatures w14:val="none"/>
        </w:rPr>
        <w:drawing>
          <wp:inline distT="0" distB="0" distL="0" distR="0" wp14:anchorId="6A1CC95C" wp14:editId="519E1FC3">
            <wp:extent cx="1097280" cy="228600"/>
            <wp:effectExtent l="0" t="0" r="7620" b="0"/>
            <wp:docPr id="1366761316"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97280" cy="228600"/>
                    </a:xfrm>
                    <a:prstGeom prst="rect">
                      <a:avLst/>
                    </a:prstGeom>
                    <a:noFill/>
                    <a:ln>
                      <a:noFill/>
                    </a:ln>
                  </pic:spPr>
                </pic:pic>
              </a:graphicData>
            </a:graphic>
          </wp:inline>
        </w:drawing>
      </w:r>
      <w:r w:rsidRPr="00026324">
        <w:rPr>
          <w:rFonts w:ascii="Open Sans" w:eastAsia="Times New Roman" w:hAnsi="Open Sans" w:cs="Open Sans"/>
          <w:color w:val="444444"/>
          <w:kern w:val="0"/>
          <w:sz w:val="21"/>
          <w:szCs w:val="21"/>
          <w:lang w:eastAsia="ru-RU"/>
          <w14:ligatures w14:val="none"/>
        </w:rPr>
        <w:t>                                                 (10.27)</w:t>
      </w:r>
      <w:r w:rsidRPr="00026324">
        <w:rPr>
          <w:rFonts w:ascii="Open Sans" w:eastAsia="Times New Roman" w:hAnsi="Open Sans" w:cs="Open Sans"/>
          <w:color w:val="444444"/>
          <w:kern w:val="0"/>
          <w:sz w:val="21"/>
          <w:szCs w:val="21"/>
          <w:lang w:eastAsia="ru-RU"/>
          <w14:ligatures w14:val="none"/>
        </w:rPr>
        <w:br/>
        <w:t>На основе (10.27) получим следующую формулу для расчета проводимости:</w:t>
      </w:r>
      <w:r w:rsidRPr="00026324">
        <w:rPr>
          <w:rFonts w:ascii="Open Sans" w:eastAsia="Times New Roman" w:hAnsi="Open Sans" w:cs="Open Sans"/>
          <w:color w:val="444444"/>
          <w:kern w:val="0"/>
          <w:sz w:val="21"/>
          <w:szCs w:val="21"/>
          <w:lang w:eastAsia="ru-RU"/>
          <w14:ligatures w14:val="none"/>
        </w:rPr>
        <w:br/>
      </w:r>
      <w:r w:rsidRPr="00026324">
        <w:rPr>
          <w:rFonts w:ascii="Open Sans" w:eastAsia="Times New Roman" w:hAnsi="Open Sans" w:cs="Open Sans"/>
          <w:noProof/>
          <w:color w:val="444444"/>
          <w:kern w:val="0"/>
          <w:sz w:val="21"/>
          <w:szCs w:val="21"/>
          <w:lang w:eastAsia="ru-RU"/>
          <w14:ligatures w14:val="none"/>
        </w:rPr>
        <w:drawing>
          <wp:inline distT="0" distB="0" distL="0" distR="0" wp14:anchorId="6D65B7B2" wp14:editId="1F398676">
            <wp:extent cx="2811780" cy="533400"/>
            <wp:effectExtent l="0" t="0" r="7620" b="0"/>
            <wp:docPr id="1589468839"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11780" cy="533400"/>
                    </a:xfrm>
                    <a:prstGeom prst="rect">
                      <a:avLst/>
                    </a:prstGeom>
                    <a:noFill/>
                    <a:ln>
                      <a:noFill/>
                    </a:ln>
                  </pic:spPr>
                </pic:pic>
              </a:graphicData>
            </a:graphic>
          </wp:inline>
        </w:drawing>
      </w:r>
      <w:r w:rsidRPr="00026324">
        <w:rPr>
          <w:rFonts w:ascii="Open Sans" w:eastAsia="Times New Roman" w:hAnsi="Open Sans" w:cs="Open Sans"/>
          <w:color w:val="444444"/>
          <w:kern w:val="0"/>
          <w:sz w:val="21"/>
          <w:szCs w:val="21"/>
          <w:lang w:eastAsia="ru-RU"/>
          <w14:ligatures w14:val="none"/>
        </w:rPr>
        <w:t>                          (10.28)</w:t>
      </w:r>
      <w:r w:rsidRPr="00026324">
        <w:rPr>
          <w:rFonts w:ascii="Open Sans" w:eastAsia="Times New Roman" w:hAnsi="Open Sans" w:cs="Open Sans"/>
          <w:color w:val="444444"/>
          <w:kern w:val="0"/>
          <w:sz w:val="21"/>
          <w:szCs w:val="21"/>
          <w:lang w:eastAsia="ru-RU"/>
          <w14:ligatures w14:val="none"/>
        </w:rPr>
        <w:br/>
        <w:t>или</w:t>
      </w:r>
      <w:r w:rsidRPr="00026324">
        <w:rPr>
          <w:rFonts w:ascii="Open Sans" w:eastAsia="Times New Roman" w:hAnsi="Open Sans" w:cs="Open Sans"/>
          <w:color w:val="444444"/>
          <w:kern w:val="0"/>
          <w:sz w:val="21"/>
          <w:szCs w:val="21"/>
          <w:lang w:eastAsia="ru-RU"/>
          <w14:ligatures w14:val="none"/>
        </w:rPr>
        <w:br/>
      </w:r>
      <w:r w:rsidRPr="00026324">
        <w:rPr>
          <w:rFonts w:ascii="Open Sans" w:eastAsia="Times New Roman" w:hAnsi="Open Sans" w:cs="Open Sans"/>
          <w:noProof/>
          <w:color w:val="444444"/>
          <w:kern w:val="0"/>
          <w:sz w:val="21"/>
          <w:szCs w:val="21"/>
          <w:lang w:eastAsia="ru-RU"/>
          <w14:ligatures w14:val="none"/>
        </w:rPr>
        <w:drawing>
          <wp:inline distT="0" distB="0" distL="0" distR="0" wp14:anchorId="7245095E" wp14:editId="0C663E5D">
            <wp:extent cx="2522220" cy="502920"/>
            <wp:effectExtent l="0" t="0" r="0" b="0"/>
            <wp:docPr id="134677260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22220" cy="502920"/>
                    </a:xfrm>
                    <a:prstGeom prst="rect">
                      <a:avLst/>
                    </a:prstGeom>
                    <a:noFill/>
                    <a:ln>
                      <a:noFill/>
                    </a:ln>
                  </pic:spPr>
                </pic:pic>
              </a:graphicData>
            </a:graphic>
          </wp:inline>
        </w:drawing>
      </w:r>
      <w:r w:rsidRPr="00026324">
        <w:rPr>
          <w:rFonts w:ascii="Open Sans" w:eastAsia="Times New Roman" w:hAnsi="Open Sans" w:cs="Open Sans"/>
          <w:color w:val="444444"/>
          <w:kern w:val="0"/>
          <w:sz w:val="21"/>
          <w:szCs w:val="21"/>
          <w:lang w:eastAsia="ru-RU"/>
          <w14:ligatures w14:val="none"/>
        </w:rPr>
        <w:t>                               (10.29)</w:t>
      </w:r>
      <w:r w:rsidRPr="00026324">
        <w:rPr>
          <w:rFonts w:ascii="Open Sans" w:eastAsia="Times New Roman" w:hAnsi="Open Sans" w:cs="Open Sans"/>
          <w:color w:val="444444"/>
          <w:kern w:val="0"/>
          <w:sz w:val="21"/>
          <w:szCs w:val="21"/>
          <w:lang w:eastAsia="ru-RU"/>
          <w14:ligatures w14:val="none"/>
        </w:rPr>
        <w:br/>
        <w:t>где </w:t>
      </w:r>
      <w:r w:rsidRPr="00026324">
        <w:rPr>
          <w:rFonts w:ascii="Open Sans" w:eastAsia="Times New Roman" w:hAnsi="Open Sans" w:cs="Open Sans"/>
          <w:i/>
          <w:iCs/>
          <w:color w:val="DD0055"/>
          <w:kern w:val="0"/>
          <w:sz w:val="21"/>
          <w:szCs w:val="21"/>
          <w:lang w:eastAsia="ru-RU"/>
          <w14:ligatures w14:val="none"/>
        </w:rPr>
        <w:t>d</w:t>
      </w:r>
      <w:r w:rsidRPr="00026324">
        <w:rPr>
          <w:rFonts w:ascii="Open Sans" w:eastAsia="Times New Roman" w:hAnsi="Open Sans" w:cs="Open Sans"/>
          <w:color w:val="444444"/>
          <w:kern w:val="0"/>
          <w:sz w:val="21"/>
          <w:szCs w:val="21"/>
          <w:lang w:eastAsia="ru-RU"/>
          <w14:ligatures w14:val="none"/>
        </w:rPr>
        <w:t> и </w:t>
      </w:r>
      <w:r w:rsidRPr="00026324">
        <w:rPr>
          <w:rFonts w:ascii="Open Sans" w:eastAsia="Times New Roman" w:hAnsi="Open Sans" w:cs="Open Sans"/>
          <w:i/>
          <w:iCs/>
          <w:color w:val="DD0055"/>
          <w:kern w:val="0"/>
          <w:sz w:val="21"/>
          <w:szCs w:val="21"/>
          <w:lang w:eastAsia="ru-RU"/>
          <w14:ligatures w14:val="none"/>
        </w:rPr>
        <w:t>l</w:t>
      </w:r>
      <w:r w:rsidRPr="00026324">
        <w:rPr>
          <w:rFonts w:ascii="Open Sans" w:eastAsia="Times New Roman" w:hAnsi="Open Sans" w:cs="Open Sans"/>
          <w:color w:val="444444"/>
          <w:kern w:val="0"/>
          <w:sz w:val="21"/>
          <w:szCs w:val="21"/>
          <w:lang w:eastAsia="ru-RU"/>
          <w14:ligatures w14:val="none"/>
        </w:rPr>
        <w:t> — диаметр и длина канала течи; η — постоянная вязкости (для воздуха при комнатной температуре она равна 18,1 н•с/м2); </w:t>
      </w:r>
      <w:r w:rsidRPr="00026324">
        <w:rPr>
          <w:rFonts w:ascii="Open Sans" w:eastAsia="Times New Roman" w:hAnsi="Open Sans" w:cs="Open Sans"/>
          <w:i/>
          <w:iCs/>
          <w:color w:val="DD0055"/>
          <w:kern w:val="0"/>
          <w:sz w:val="21"/>
          <w:szCs w:val="21"/>
          <w:lang w:eastAsia="ru-RU"/>
          <w14:ligatures w14:val="none"/>
        </w:rPr>
        <w:t>М</w:t>
      </w:r>
      <w:r w:rsidRPr="00026324">
        <w:rPr>
          <w:rFonts w:ascii="Open Sans" w:eastAsia="Times New Roman" w:hAnsi="Open Sans" w:cs="Open Sans"/>
          <w:color w:val="444444"/>
          <w:kern w:val="0"/>
          <w:sz w:val="21"/>
          <w:szCs w:val="21"/>
          <w:lang w:eastAsia="ru-RU"/>
          <w14:ligatures w14:val="none"/>
        </w:rPr>
        <w:t> — молекулярный вес; </w:t>
      </w:r>
      <w:r w:rsidRPr="00026324">
        <w:rPr>
          <w:rFonts w:ascii="Open Sans" w:eastAsia="Times New Roman" w:hAnsi="Open Sans" w:cs="Open Sans"/>
          <w:i/>
          <w:iCs/>
          <w:color w:val="DD0055"/>
          <w:kern w:val="0"/>
          <w:sz w:val="21"/>
          <w:szCs w:val="21"/>
          <w:lang w:eastAsia="ru-RU"/>
          <w14:ligatures w14:val="none"/>
        </w:rPr>
        <w:t>Т</w:t>
      </w:r>
      <w:r w:rsidRPr="00026324">
        <w:rPr>
          <w:rFonts w:ascii="Open Sans" w:eastAsia="Times New Roman" w:hAnsi="Open Sans" w:cs="Open Sans"/>
          <w:color w:val="444444"/>
          <w:kern w:val="0"/>
          <w:sz w:val="21"/>
          <w:szCs w:val="21"/>
          <w:lang w:eastAsia="ru-RU"/>
          <w14:ligatures w14:val="none"/>
        </w:rPr>
        <w:t> — абсолютная температура; </w:t>
      </w:r>
      <w:r w:rsidRPr="00026324">
        <w:rPr>
          <w:rFonts w:ascii="Open Sans" w:eastAsia="Times New Roman" w:hAnsi="Open Sans" w:cs="Open Sans"/>
          <w:i/>
          <w:iCs/>
          <w:color w:val="DD0055"/>
          <w:kern w:val="0"/>
          <w:sz w:val="21"/>
          <w:szCs w:val="21"/>
          <w:lang w:eastAsia="ru-RU"/>
          <w14:ligatures w14:val="none"/>
        </w:rPr>
        <w:t>Р</w:t>
      </w:r>
      <w:r w:rsidRPr="00026324">
        <w:rPr>
          <w:rFonts w:ascii="Open Sans" w:eastAsia="Times New Roman" w:hAnsi="Open Sans" w:cs="Open Sans"/>
          <w:color w:val="444444"/>
          <w:kern w:val="0"/>
          <w:sz w:val="21"/>
          <w:szCs w:val="21"/>
          <w:lang w:eastAsia="ru-RU"/>
          <w14:ligatures w14:val="none"/>
        </w:rPr>
        <w:t>Σ = (</w:t>
      </w:r>
      <w:r w:rsidRPr="00026324">
        <w:rPr>
          <w:rFonts w:ascii="Open Sans" w:eastAsia="Times New Roman" w:hAnsi="Open Sans" w:cs="Open Sans"/>
          <w:i/>
          <w:iCs/>
          <w:color w:val="DD0055"/>
          <w:kern w:val="0"/>
          <w:sz w:val="21"/>
          <w:szCs w:val="21"/>
          <w:lang w:eastAsia="ru-RU"/>
          <w14:ligatures w14:val="none"/>
        </w:rPr>
        <w:t>P</w:t>
      </w:r>
      <w:r w:rsidRPr="00026324">
        <w:rPr>
          <w:rFonts w:ascii="Open Sans" w:eastAsia="Times New Roman" w:hAnsi="Open Sans" w:cs="Open Sans"/>
          <w:color w:val="444444"/>
          <w:kern w:val="0"/>
          <w:sz w:val="21"/>
          <w:szCs w:val="21"/>
          <w:lang w:eastAsia="ru-RU"/>
          <w14:ligatures w14:val="none"/>
        </w:rPr>
        <w:t>1 + </w:t>
      </w:r>
      <w:r w:rsidRPr="00026324">
        <w:rPr>
          <w:rFonts w:ascii="Open Sans" w:eastAsia="Times New Roman" w:hAnsi="Open Sans" w:cs="Open Sans"/>
          <w:i/>
          <w:iCs/>
          <w:color w:val="DD0055"/>
          <w:kern w:val="0"/>
          <w:sz w:val="21"/>
          <w:szCs w:val="21"/>
          <w:lang w:eastAsia="ru-RU"/>
          <w14:ligatures w14:val="none"/>
        </w:rPr>
        <w:t>P</w:t>
      </w:r>
      <w:r w:rsidRPr="00026324">
        <w:rPr>
          <w:rFonts w:ascii="Open Sans" w:eastAsia="Times New Roman" w:hAnsi="Open Sans" w:cs="Open Sans"/>
          <w:color w:val="444444"/>
          <w:kern w:val="0"/>
          <w:sz w:val="21"/>
          <w:szCs w:val="21"/>
          <w:lang w:eastAsia="ru-RU"/>
          <w14:ligatures w14:val="none"/>
        </w:rPr>
        <w:t>2)/2— среднее значение давления.</w:t>
      </w:r>
      <w:r w:rsidRPr="00026324">
        <w:rPr>
          <w:rFonts w:ascii="Open Sans" w:eastAsia="Times New Roman" w:hAnsi="Open Sans" w:cs="Open Sans"/>
          <w:color w:val="444444"/>
          <w:kern w:val="0"/>
          <w:sz w:val="21"/>
          <w:szCs w:val="21"/>
          <w:lang w:eastAsia="ru-RU"/>
          <w14:ligatures w14:val="none"/>
        </w:rPr>
        <w:br/>
        <w:t>Из формулы (10.28) можно получить известные формулы для предельных случаев вязкого и молекулярного, течений. С учетом (10.24) число Кнудсена равно Кn = 3,1•10-24</w:t>
      </w:r>
      <w:r w:rsidRPr="00026324">
        <w:rPr>
          <w:rFonts w:ascii="Open Sans" w:eastAsia="Times New Roman" w:hAnsi="Open Sans" w:cs="Open Sans"/>
          <w:i/>
          <w:iCs/>
          <w:color w:val="DD0055"/>
          <w:kern w:val="0"/>
          <w:sz w:val="21"/>
          <w:szCs w:val="21"/>
          <w:lang w:eastAsia="ru-RU"/>
          <w14:ligatures w14:val="none"/>
        </w:rPr>
        <w:t>TP</w:t>
      </w:r>
      <w:r w:rsidRPr="00026324">
        <w:rPr>
          <w:rFonts w:ascii="Open Sans" w:eastAsia="Times New Roman" w:hAnsi="Open Sans" w:cs="Open Sans"/>
          <w:color w:val="444444"/>
          <w:kern w:val="0"/>
          <w:sz w:val="21"/>
          <w:szCs w:val="21"/>
          <w:lang w:eastAsia="ru-RU"/>
          <w14:ligatures w14:val="none"/>
        </w:rPr>
        <w:t>2/(</w:t>
      </w:r>
      <w:r w:rsidRPr="00026324">
        <w:rPr>
          <w:rFonts w:ascii="Open Sans" w:eastAsia="Times New Roman" w:hAnsi="Open Sans" w:cs="Open Sans"/>
          <w:i/>
          <w:iCs/>
          <w:color w:val="DD0055"/>
          <w:kern w:val="0"/>
          <w:sz w:val="21"/>
          <w:szCs w:val="21"/>
          <w:lang w:eastAsia="ru-RU"/>
          <w14:ligatures w14:val="none"/>
        </w:rPr>
        <w:t>d</w:t>
      </w:r>
      <w:r w:rsidRPr="00026324">
        <w:rPr>
          <w:rFonts w:ascii="Open Sans" w:eastAsia="Times New Roman" w:hAnsi="Open Sans" w:cs="Open Sans"/>
          <w:color w:val="444444"/>
          <w:kern w:val="0"/>
          <w:sz w:val="21"/>
          <w:szCs w:val="21"/>
          <w:lang w:eastAsia="ru-RU"/>
          <w14:ligatures w14:val="none"/>
        </w:rPr>
        <w:t>0</w:t>
      </w:r>
      <w:r w:rsidRPr="00026324">
        <w:rPr>
          <w:rFonts w:ascii="Open Sans" w:eastAsia="Times New Roman" w:hAnsi="Open Sans" w:cs="Open Sans"/>
          <w:i/>
          <w:iCs/>
          <w:color w:val="DD0055"/>
          <w:kern w:val="0"/>
          <w:sz w:val="21"/>
          <w:szCs w:val="21"/>
          <w:lang w:eastAsia="ru-RU"/>
          <w14:ligatures w14:val="none"/>
        </w:rPr>
        <w:t>d</w:t>
      </w:r>
      <w:r w:rsidRPr="00026324">
        <w:rPr>
          <w:rFonts w:ascii="Open Sans" w:eastAsia="Times New Roman" w:hAnsi="Open Sans" w:cs="Open Sans"/>
          <w:color w:val="444444"/>
          <w:kern w:val="0"/>
          <w:sz w:val="21"/>
          <w:szCs w:val="21"/>
          <w:lang w:eastAsia="ru-RU"/>
          <w14:ligatures w14:val="none"/>
        </w:rPr>
        <w:t>), т.е. оно пропорционально </w:t>
      </w:r>
      <w:r w:rsidRPr="00026324">
        <w:rPr>
          <w:rFonts w:ascii="Open Sans" w:eastAsia="Times New Roman" w:hAnsi="Open Sans" w:cs="Open Sans"/>
          <w:i/>
          <w:iCs/>
          <w:color w:val="DD0055"/>
          <w:kern w:val="0"/>
          <w:sz w:val="21"/>
          <w:szCs w:val="21"/>
          <w:lang w:eastAsia="ru-RU"/>
          <w14:ligatures w14:val="none"/>
        </w:rPr>
        <w:t>TP</w:t>
      </w:r>
      <w:r w:rsidRPr="00026324">
        <w:rPr>
          <w:rFonts w:ascii="Open Sans" w:eastAsia="Times New Roman" w:hAnsi="Open Sans" w:cs="Open Sans"/>
          <w:color w:val="444444"/>
          <w:kern w:val="0"/>
          <w:sz w:val="21"/>
          <w:szCs w:val="21"/>
          <w:lang w:eastAsia="ru-RU"/>
          <w14:ligatures w14:val="none"/>
        </w:rPr>
        <w:t>Σ/</w:t>
      </w:r>
      <w:r w:rsidRPr="00026324">
        <w:rPr>
          <w:rFonts w:ascii="Open Sans" w:eastAsia="Times New Roman" w:hAnsi="Open Sans" w:cs="Open Sans"/>
          <w:i/>
          <w:iCs/>
          <w:color w:val="DD0055"/>
          <w:kern w:val="0"/>
          <w:sz w:val="21"/>
          <w:szCs w:val="21"/>
          <w:lang w:eastAsia="ru-RU"/>
          <w14:ligatures w14:val="none"/>
        </w:rPr>
        <w:t>d</w:t>
      </w:r>
      <w:r w:rsidRPr="00026324">
        <w:rPr>
          <w:rFonts w:ascii="Open Sans" w:eastAsia="Times New Roman" w:hAnsi="Open Sans" w:cs="Open Sans"/>
          <w:color w:val="444444"/>
          <w:kern w:val="0"/>
          <w:sz w:val="21"/>
          <w:szCs w:val="21"/>
          <w:lang w:eastAsia="ru-RU"/>
          <w14:ligatures w14:val="none"/>
        </w:rPr>
        <w:t>. Отсюда следует, что формулу (10.28) можно записать так:</w:t>
      </w:r>
      <w:r w:rsidRPr="00026324">
        <w:rPr>
          <w:rFonts w:ascii="Open Sans" w:eastAsia="Times New Roman" w:hAnsi="Open Sans" w:cs="Open Sans"/>
          <w:color w:val="444444"/>
          <w:kern w:val="0"/>
          <w:sz w:val="21"/>
          <w:szCs w:val="21"/>
          <w:lang w:eastAsia="ru-RU"/>
          <w14:ligatures w14:val="none"/>
        </w:rPr>
        <w:br/>
      </w:r>
      <w:r w:rsidRPr="00026324">
        <w:rPr>
          <w:rFonts w:ascii="Open Sans" w:eastAsia="Times New Roman" w:hAnsi="Open Sans" w:cs="Open Sans"/>
          <w:noProof/>
          <w:color w:val="444444"/>
          <w:kern w:val="0"/>
          <w:sz w:val="21"/>
          <w:szCs w:val="21"/>
          <w:lang w:eastAsia="ru-RU"/>
          <w14:ligatures w14:val="none"/>
        </w:rPr>
        <w:drawing>
          <wp:inline distT="0" distB="0" distL="0" distR="0" wp14:anchorId="5D8555F4" wp14:editId="038BE296">
            <wp:extent cx="2773680" cy="487680"/>
            <wp:effectExtent l="0" t="0" r="7620" b="7620"/>
            <wp:docPr id="1313540814"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73680" cy="487680"/>
                    </a:xfrm>
                    <a:prstGeom prst="rect">
                      <a:avLst/>
                    </a:prstGeom>
                    <a:noFill/>
                    <a:ln>
                      <a:noFill/>
                    </a:ln>
                  </pic:spPr>
                </pic:pic>
              </a:graphicData>
            </a:graphic>
          </wp:inline>
        </w:drawing>
      </w:r>
      <w:r w:rsidRPr="00026324">
        <w:rPr>
          <w:rFonts w:ascii="Open Sans" w:eastAsia="Times New Roman" w:hAnsi="Open Sans" w:cs="Open Sans"/>
          <w:color w:val="444444"/>
          <w:kern w:val="0"/>
          <w:sz w:val="21"/>
          <w:szCs w:val="21"/>
          <w:lang w:eastAsia="ru-RU"/>
          <w14:ligatures w14:val="none"/>
        </w:rPr>
        <w:br/>
        <w:t>Когда число Кнудсена велико (больше 1), то проводимость определяет второй член в скобках; возникает молекулярное, или кнудсеновское, течение:</w:t>
      </w:r>
      <w:r w:rsidRPr="00026324">
        <w:rPr>
          <w:rFonts w:ascii="Open Sans" w:eastAsia="Times New Roman" w:hAnsi="Open Sans" w:cs="Open Sans"/>
          <w:color w:val="444444"/>
          <w:kern w:val="0"/>
          <w:sz w:val="21"/>
          <w:szCs w:val="21"/>
          <w:lang w:eastAsia="ru-RU"/>
          <w14:ligatures w14:val="none"/>
        </w:rPr>
        <w:br/>
      </w:r>
      <w:r w:rsidRPr="00026324">
        <w:rPr>
          <w:rFonts w:ascii="Open Sans" w:eastAsia="Times New Roman" w:hAnsi="Open Sans" w:cs="Open Sans"/>
          <w:noProof/>
          <w:color w:val="444444"/>
          <w:kern w:val="0"/>
          <w:sz w:val="21"/>
          <w:szCs w:val="21"/>
          <w:lang w:eastAsia="ru-RU"/>
          <w14:ligatures w14:val="none"/>
        </w:rPr>
        <w:drawing>
          <wp:inline distT="0" distB="0" distL="0" distR="0" wp14:anchorId="5F3F66C1" wp14:editId="076F2457">
            <wp:extent cx="2468880" cy="449580"/>
            <wp:effectExtent l="0" t="0" r="7620" b="7620"/>
            <wp:docPr id="887029414"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68880" cy="449580"/>
                    </a:xfrm>
                    <a:prstGeom prst="rect">
                      <a:avLst/>
                    </a:prstGeom>
                    <a:noFill/>
                    <a:ln>
                      <a:noFill/>
                    </a:ln>
                  </pic:spPr>
                </pic:pic>
              </a:graphicData>
            </a:graphic>
          </wp:inline>
        </w:drawing>
      </w:r>
      <w:r w:rsidRPr="00026324">
        <w:rPr>
          <w:rFonts w:ascii="Open Sans" w:eastAsia="Times New Roman" w:hAnsi="Open Sans" w:cs="Open Sans"/>
          <w:color w:val="444444"/>
          <w:kern w:val="0"/>
          <w:sz w:val="21"/>
          <w:szCs w:val="21"/>
          <w:lang w:eastAsia="ru-RU"/>
          <w14:ligatures w14:val="none"/>
        </w:rPr>
        <w:br/>
        <w:t>где </w:t>
      </w:r>
      <w:r w:rsidRPr="00026324">
        <w:rPr>
          <w:rFonts w:ascii="Open Sans" w:eastAsia="Times New Roman" w:hAnsi="Open Sans" w:cs="Open Sans"/>
          <w:i/>
          <w:iCs/>
          <w:color w:val="DD0055"/>
          <w:kern w:val="0"/>
          <w:sz w:val="21"/>
          <w:szCs w:val="21"/>
          <w:lang w:eastAsia="ru-RU"/>
          <w14:ligatures w14:val="none"/>
        </w:rPr>
        <w:t>Р</w:t>
      </w:r>
      <w:r w:rsidRPr="00026324">
        <w:rPr>
          <w:rFonts w:ascii="Open Sans" w:eastAsia="Times New Roman" w:hAnsi="Open Sans" w:cs="Open Sans"/>
          <w:color w:val="444444"/>
          <w:kern w:val="0"/>
          <w:sz w:val="21"/>
          <w:szCs w:val="21"/>
          <w:lang w:eastAsia="ru-RU"/>
          <w14:ligatures w14:val="none"/>
        </w:rPr>
        <w:t> = </w:t>
      </w:r>
      <w:r w:rsidRPr="00026324">
        <w:rPr>
          <w:rFonts w:ascii="Open Sans" w:eastAsia="Times New Roman" w:hAnsi="Open Sans" w:cs="Open Sans"/>
          <w:i/>
          <w:iCs/>
          <w:color w:val="DD0055"/>
          <w:kern w:val="0"/>
          <w:sz w:val="21"/>
          <w:szCs w:val="21"/>
          <w:lang w:eastAsia="ru-RU"/>
          <w14:ligatures w14:val="none"/>
        </w:rPr>
        <w:t>Р</w:t>
      </w:r>
      <w:r w:rsidRPr="00026324">
        <w:rPr>
          <w:rFonts w:ascii="Open Sans" w:eastAsia="Times New Roman" w:hAnsi="Open Sans" w:cs="Open Sans"/>
          <w:color w:val="444444"/>
          <w:kern w:val="0"/>
          <w:sz w:val="21"/>
          <w:szCs w:val="21"/>
          <w:lang w:eastAsia="ru-RU"/>
          <w14:ligatures w14:val="none"/>
        </w:rPr>
        <w:t>2 – </w:t>
      </w:r>
      <w:r w:rsidRPr="00026324">
        <w:rPr>
          <w:rFonts w:ascii="Open Sans" w:eastAsia="Times New Roman" w:hAnsi="Open Sans" w:cs="Open Sans"/>
          <w:i/>
          <w:iCs/>
          <w:color w:val="DD0055"/>
          <w:kern w:val="0"/>
          <w:sz w:val="21"/>
          <w:szCs w:val="21"/>
          <w:lang w:eastAsia="ru-RU"/>
          <w14:ligatures w14:val="none"/>
        </w:rPr>
        <w:t>P</w:t>
      </w:r>
      <w:r w:rsidRPr="00026324">
        <w:rPr>
          <w:rFonts w:ascii="Open Sans" w:eastAsia="Times New Roman" w:hAnsi="Open Sans" w:cs="Open Sans"/>
          <w:color w:val="444444"/>
          <w:kern w:val="0"/>
          <w:sz w:val="21"/>
          <w:szCs w:val="21"/>
          <w:lang w:eastAsia="ru-RU"/>
          <w14:ligatures w14:val="none"/>
        </w:rPr>
        <w:t xml:space="preserve">1. Когда число Кn значительно меньше 1, то вторым членом в скобках пренебрегают и проводимость определяет первый член в скобках. Возникает вязкое </w:t>
      </w:r>
      <w:r w:rsidRPr="00026324">
        <w:rPr>
          <w:rFonts w:ascii="Open Sans" w:eastAsia="Times New Roman" w:hAnsi="Open Sans" w:cs="Open Sans"/>
          <w:color w:val="444444"/>
          <w:kern w:val="0"/>
          <w:sz w:val="21"/>
          <w:szCs w:val="21"/>
          <w:lang w:eastAsia="ru-RU"/>
          <w14:ligatures w14:val="none"/>
        </w:rPr>
        <w:lastRenderedPageBreak/>
        <w:t>течение, определяемое законом Пуазейля:</w:t>
      </w:r>
      <w:r w:rsidRPr="00026324">
        <w:rPr>
          <w:rFonts w:ascii="Open Sans" w:eastAsia="Times New Roman" w:hAnsi="Open Sans" w:cs="Open Sans"/>
          <w:color w:val="444444"/>
          <w:kern w:val="0"/>
          <w:sz w:val="21"/>
          <w:szCs w:val="21"/>
          <w:lang w:eastAsia="ru-RU"/>
          <w14:ligatures w14:val="none"/>
        </w:rPr>
        <w:br/>
      </w:r>
      <w:r w:rsidRPr="00026324">
        <w:rPr>
          <w:rFonts w:ascii="Open Sans" w:eastAsia="Times New Roman" w:hAnsi="Open Sans" w:cs="Open Sans"/>
          <w:noProof/>
          <w:color w:val="444444"/>
          <w:kern w:val="0"/>
          <w:sz w:val="21"/>
          <w:szCs w:val="21"/>
          <w:lang w:eastAsia="ru-RU"/>
          <w14:ligatures w14:val="none"/>
        </w:rPr>
        <w:drawing>
          <wp:inline distT="0" distB="0" distL="0" distR="0" wp14:anchorId="1E55D048" wp14:editId="46CD13CB">
            <wp:extent cx="3284220" cy="449580"/>
            <wp:effectExtent l="0" t="0" r="0" b="7620"/>
            <wp:docPr id="798261700"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84220" cy="449580"/>
                    </a:xfrm>
                    <a:prstGeom prst="rect">
                      <a:avLst/>
                    </a:prstGeom>
                    <a:noFill/>
                    <a:ln>
                      <a:noFill/>
                    </a:ln>
                  </pic:spPr>
                </pic:pic>
              </a:graphicData>
            </a:graphic>
          </wp:inline>
        </w:drawing>
      </w:r>
      <w:r w:rsidRPr="00026324">
        <w:rPr>
          <w:rFonts w:ascii="Open Sans" w:eastAsia="Times New Roman" w:hAnsi="Open Sans" w:cs="Open Sans"/>
          <w:color w:val="444444"/>
          <w:kern w:val="0"/>
          <w:sz w:val="21"/>
          <w:szCs w:val="21"/>
          <w:lang w:eastAsia="ru-RU"/>
          <w14:ligatures w14:val="none"/>
        </w:rPr>
        <w:t>                  (10.30)</w:t>
      </w:r>
      <w:r w:rsidRPr="00026324">
        <w:rPr>
          <w:rFonts w:ascii="Open Sans" w:eastAsia="Times New Roman" w:hAnsi="Open Sans" w:cs="Open Sans"/>
          <w:color w:val="444444"/>
          <w:kern w:val="0"/>
          <w:sz w:val="21"/>
          <w:szCs w:val="21"/>
          <w:lang w:eastAsia="ru-RU"/>
          <w14:ligatures w14:val="none"/>
        </w:rPr>
        <w:br/>
        <w:t>Анализ зависимости (10.28) показывает, что для определенного газа, текущего при данной температуре, проводимость практически не зависит от давления </w:t>
      </w:r>
      <w:r w:rsidRPr="00026324">
        <w:rPr>
          <w:rFonts w:ascii="Open Sans" w:eastAsia="Times New Roman" w:hAnsi="Open Sans" w:cs="Open Sans"/>
          <w:i/>
          <w:iCs/>
          <w:color w:val="DD0055"/>
          <w:kern w:val="0"/>
          <w:sz w:val="21"/>
          <w:szCs w:val="21"/>
          <w:lang w:eastAsia="ru-RU"/>
          <w14:ligatures w14:val="none"/>
        </w:rPr>
        <w:t>Р</w:t>
      </w:r>
      <w:r w:rsidRPr="00026324">
        <w:rPr>
          <w:rFonts w:ascii="Open Sans" w:eastAsia="Times New Roman" w:hAnsi="Open Sans" w:cs="Open Sans"/>
          <w:color w:val="444444"/>
          <w:kern w:val="0"/>
          <w:sz w:val="21"/>
          <w:szCs w:val="21"/>
          <w:lang w:eastAsia="ru-RU"/>
          <w14:ligatures w14:val="none"/>
        </w:rPr>
        <w:t>Σ (рис. 10.25). Это удобно при расчетах сложных систем и в том числе при определении потоков газа. Так, если две или несколько течей соединены параллельно (например, течи в поверхности изделия), то полная пропускная способность этой поверхности (стенки) равна сумме проводимостей каждой течи.</w:t>
      </w:r>
      <w:r w:rsidRPr="00026324">
        <w:rPr>
          <w:rFonts w:ascii="Open Sans" w:eastAsia="Times New Roman" w:hAnsi="Open Sans" w:cs="Open Sans"/>
          <w:color w:val="444444"/>
          <w:kern w:val="0"/>
          <w:sz w:val="21"/>
          <w:szCs w:val="21"/>
          <w:lang w:eastAsia="ru-RU"/>
          <w14:ligatures w14:val="none"/>
        </w:rPr>
        <w:br/>
        <w:t>В то же время с использованием уравнений для проводимости можно найти поток газа, используя соотношение</w:t>
      </w:r>
      <w:r w:rsidRPr="00026324">
        <w:rPr>
          <w:rFonts w:ascii="Open Sans" w:eastAsia="Times New Roman" w:hAnsi="Open Sans" w:cs="Open Sans"/>
          <w:color w:val="444444"/>
          <w:kern w:val="0"/>
          <w:sz w:val="21"/>
          <w:szCs w:val="21"/>
          <w:lang w:eastAsia="ru-RU"/>
          <w14:ligatures w14:val="none"/>
        </w:rPr>
        <w:br/>
      </w:r>
      <w:r w:rsidRPr="00026324">
        <w:rPr>
          <w:rFonts w:ascii="Open Sans" w:eastAsia="Times New Roman" w:hAnsi="Open Sans" w:cs="Open Sans"/>
          <w:noProof/>
          <w:color w:val="444444"/>
          <w:kern w:val="0"/>
          <w:sz w:val="21"/>
          <w:szCs w:val="21"/>
          <w:lang w:eastAsia="ru-RU"/>
          <w14:ligatures w14:val="none"/>
        </w:rPr>
        <w:drawing>
          <wp:inline distT="0" distB="0" distL="0" distR="0" wp14:anchorId="5D242FA6" wp14:editId="674375EA">
            <wp:extent cx="807720" cy="182880"/>
            <wp:effectExtent l="0" t="0" r="0" b="7620"/>
            <wp:docPr id="39132099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07720" cy="182880"/>
                    </a:xfrm>
                    <a:prstGeom prst="rect">
                      <a:avLst/>
                    </a:prstGeom>
                    <a:noFill/>
                    <a:ln>
                      <a:noFill/>
                    </a:ln>
                  </pic:spPr>
                </pic:pic>
              </a:graphicData>
            </a:graphic>
          </wp:inline>
        </w:drawing>
      </w:r>
      <w:r w:rsidRPr="00026324">
        <w:rPr>
          <w:rFonts w:ascii="Open Sans" w:eastAsia="Times New Roman" w:hAnsi="Open Sans" w:cs="Open Sans"/>
          <w:color w:val="444444"/>
          <w:kern w:val="0"/>
          <w:sz w:val="21"/>
          <w:szCs w:val="21"/>
          <w:lang w:eastAsia="ru-RU"/>
          <w14:ligatures w14:val="none"/>
        </w:rPr>
        <w:t>                                                           (10.31)</w:t>
      </w:r>
      <w:r w:rsidRPr="00026324">
        <w:rPr>
          <w:rFonts w:ascii="Open Sans" w:eastAsia="Times New Roman" w:hAnsi="Open Sans" w:cs="Open Sans"/>
          <w:color w:val="444444"/>
          <w:kern w:val="0"/>
          <w:sz w:val="21"/>
          <w:szCs w:val="21"/>
          <w:lang w:eastAsia="ru-RU"/>
          <w14:ligatures w14:val="none"/>
        </w:rPr>
        <w:br/>
        <w:t>Определим </w:t>
      </w:r>
      <w:r w:rsidRPr="00026324">
        <w:rPr>
          <w:rFonts w:ascii="Open Sans" w:eastAsia="Times New Roman" w:hAnsi="Open Sans" w:cs="Open Sans"/>
          <w:i/>
          <w:iCs/>
          <w:color w:val="DD0055"/>
          <w:kern w:val="0"/>
          <w:sz w:val="21"/>
          <w:szCs w:val="21"/>
          <w:lang w:eastAsia="ru-RU"/>
          <w14:ligatures w14:val="none"/>
        </w:rPr>
        <w:t>W</w:t>
      </w:r>
      <w:r w:rsidRPr="00026324">
        <w:rPr>
          <w:rFonts w:ascii="Open Sans" w:eastAsia="Times New Roman" w:hAnsi="Open Sans" w:cs="Open Sans"/>
          <w:color w:val="444444"/>
          <w:kern w:val="0"/>
          <w:sz w:val="21"/>
          <w:szCs w:val="21"/>
          <w:lang w:eastAsia="ru-RU"/>
          <w14:ligatures w14:val="none"/>
        </w:rPr>
        <w:t> из соотношения </w:t>
      </w:r>
      <w:r w:rsidRPr="00026324">
        <w:rPr>
          <w:rFonts w:ascii="Open Sans" w:eastAsia="Times New Roman" w:hAnsi="Open Sans" w:cs="Open Sans"/>
          <w:i/>
          <w:iCs/>
          <w:color w:val="DD0055"/>
          <w:kern w:val="0"/>
          <w:sz w:val="21"/>
          <w:szCs w:val="21"/>
          <w:lang w:eastAsia="ru-RU"/>
          <w14:ligatures w14:val="none"/>
        </w:rPr>
        <w:t>W</w:t>
      </w:r>
      <w:r w:rsidRPr="00026324">
        <w:rPr>
          <w:rFonts w:ascii="Open Sans" w:eastAsia="Times New Roman" w:hAnsi="Open Sans" w:cs="Open Sans"/>
          <w:color w:val="444444"/>
          <w:kern w:val="0"/>
          <w:sz w:val="21"/>
          <w:szCs w:val="21"/>
          <w:lang w:eastAsia="ru-RU"/>
          <w14:ligatures w14:val="none"/>
        </w:rPr>
        <w:t>= 1/</w:t>
      </w:r>
      <w:r w:rsidRPr="00026324">
        <w:rPr>
          <w:rFonts w:ascii="Open Sans" w:eastAsia="Times New Roman" w:hAnsi="Open Sans" w:cs="Open Sans"/>
          <w:i/>
          <w:iCs/>
          <w:color w:val="DD0055"/>
          <w:kern w:val="0"/>
          <w:sz w:val="21"/>
          <w:szCs w:val="21"/>
          <w:lang w:eastAsia="ru-RU"/>
          <w14:ligatures w14:val="none"/>
        </w:rPr>
        <w:t>G</w:t>
      </w:r>
      <w:r w:rsidRPr="00026324">
        <w:rPr>
          <w:rFonts w:ascii="Open Sans" w:eastAsia="Times New Roman" w:hAnsi="Open Sans" w:cs="Open Sans"/>
          <w:color w:val="444444"/>
          <w:kern w:val="0"/>
          <w:sz w:val="21"/>
          <w:szCs w:val="21"/>
          <w:lang w:eastAsia="ru-RU"/>
          <w14:ligatures w14:val="none"/>
        </w:rPr>
        <w:t>:</w:t>
      </w:r>
      <w:r w:rsidRPr="00026324">
        <w:rPr>
          <w:rFonts w:ascii="Open Sans" w:eastAsia="Times New Roman" w:hAnsi="Open Sans" w:cs="Open Sans"/>
          <w:color w:val="444444"/>
          <w:kern w:val="0"/>
          <w:sz w:val="21"/>
          <w:szCs w:val="21"/>
          <w:lang w:eastAsia="ru-RU"/>
          <w14:ligatures w14:val="none"/>
        </w:rPr>
        <w:br/>
      </w:r>
      <w:r w:rsidRPr="00026324">
        <w:rPr>
          <w:rFonts w:ascii="Open Sans" w:eastAsia="Times New Roman" w:hAnsi="Open Sans" w:cs="Open Sans"/>
          <w:noProof/>
          <w:color w:val="444444"/>
          <w:kern w:val="0"/>
          <w:sz w:val="21"/>
          <w:szCs w:val="21"/>
          <w:lang w:eastAsia="ru-RU"/>
          <w14:ligatures w14:val="none"/>
        </w:rPr>
        <w:drawing>
          <wp:inline distT="0" distB="0" distL="0" distR="0" wp14:anchorId="5044D6CF" wp14:editId="5A1DD3E3">
            <wp:extent cx="2560320" cy="502920"/>
            <wp:effectExtent l="0" t="0" r="0" b="0"/>
            <wp:docPr id="516732540"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60320" cy="502920"/>
                    </a:xfrm>
                    <a:prstGeom prst="rect">
                      <a:avLst/>
                    </a:prstGeom>
                    <a:noFill/>
                    <a:ln>
                      <a:noFill/>
                    </a:ln>
                  </pic:spPr>
                </pic:pic>
              </a:graphicData>
            </a:graphic>
          </wp:inline>
        </w:drawing>
      </w:r>
      <w:r w:rsidRPr="00026324">
        <w:rPr>
          <w:rFonts w:ascii="Open Sans" w:eastAsia="Times New Roman" w:hAnsi="Open Sans" w:cs="Open Sans"/>
          <w:color w:val="444444"/>
          <w:kern w:val="0"/>
          <w:sz w:val="21"/>
          <w:szCs w:val="21"/>
          <w:lang w:eastAsia="ru-RU"/>
          <w14:ligatures w14:val="none"/>
        </w:rPr>
        <w:t>                    (10.32)</w:t>
      </w:r>
      <w:r w:rsidRPr="00026324">
        <w:rPr>
          <w:rFonts w:ascii="Open Sans" w:eastAsia="Times New Roman" w:hAnsi="Open Sans" w:cs="Open Sans"/>
          <w:color w:val="444444"/>
          <w:kern w:val="0"/>
          <w:sz w:val="21"/>
          <w:szCs w:val="21"/>
          <w:lang w:eastAsia="ru-RU"/>
          <w14:ligatures w14:val="none"/>
        </w:rPr>
        <w:br/>
        <w:t>Продифференцируем (10.32) по </w:t>
      </w:r>
      <w:r w:rsidRPr="00026324">
        <w:rPr>
          <w:rFonts w:ascii="Open Sans" w:eastAsia="Times New Roman" w:hAnsi="Open Sans" w:cs="Open Sans"/>
          <w:i/>
          <w:iCs/>
          <w:color w:val="DD0055"/>
          <w:kern w:val="0"/>
          <w:sz w:val="21"/>
          <w:szCs w:val="21"/>
          <w:lang w:eastAsia="ru-RU"/>
          <w14:ligatures w14:val="none"/>
        </w:rPr>
        <w:t>l</w:t>
      </w:r>
      <w:r w:rsidRPr="00026324">
        <w:rPr>
          <w:rFonts w:ascii="Open Sans" w:eastAsia="Times New Roman" w:hAnsi="Open Sans" w:cs="Open Sans"/>
          <w:color w:val="444444"/>
          <w:kern w:val="0"/>
          <w:sz w:val="21"/>
          <w:szCs w:val="21"/>
          <w:lang w:eastAsia="ru-RU"/>
          <w14:ligatures w14:val="none"/>
        </w:rPr>
        <w:t>, подставим в (10.31) и проинтегрируем:</w:t>
      </w:r>
      <w:r w:rsidRPr="00026324">
        <w:rPr>
          <w:rFonts w:ascii="Open Sans" w:eastAsia="Times New Roman" w:hAnsi="Open Sans" w:cs="Open Sans"/>
          <w:color w:val="444444"/>
          <w:kern w:val="0"/>
          <w:sz w:val="21"/>
          <w:szCs w:val="21"/>
          <w:lang w:eastAsia="ru-RU"/>
          <w14:ligatures w14:val="none"/>
        </w:rPr>
        <w:br/>
      </w:r>
      <w:r w:rsidRPr="00026324">
        <w:rPr>
          <w:rFonts w:ascii="Open Sans" w:eastAsia="Times New Roman" w:hAnsi="Open Sans" w:cs="Open Sans"/>
          <w:noProof/>
          <w:color w:val="444444"/>
          <w:kern w:val="0"/>
          <w:sz w:val="21"/>
          <w:szCs w:val="21"/>
          <w:lang w:eastAsia="ru-RU"/>
          <w14:ligatures w14:val="none"/>
        </w:rPr>
        <w:drawing>
          <wp:inline distT="0" distB="0" distL="0" distR="0" wp14:anchorId="7BF1A56D" wp14:editId="79965D6A">
            <wp:extent cx="2773680" cy="495300"/>
            <wp:effectExtent l="0" t="0" r="7620" b="0"/>
            <wp:docPr id="90844307"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73680" cy="495300"/>
                    </a:xfrm>
                    <a:prstGeom prst="rect">
                      <a:avLst/>
                    </a:prstGeom>
                    <a:noFill/>
                    <a:ln>
                      <a:noFill/>
                    </a:ln>
                  </pic:spPr>
                </pic:pic>
              </a:graphicData>
            </a:graphic>
          </wp:inline>
        </w:drawing>
      </w:r>
      <w:r w:rsidRPr="00026324">
        <w:rPr>
          <w:rFonts w:ascii="Open Sans" w:eastAsia="Times New Roman" w:hAnsi="Open Sans" w:cs="Open Sans"/>
          <w:color w:val="444444"/>
          <w:kern w:val="0"/>
          <w:sz w:val="21"/>
          <w:szCs w:val="21"/>
          <w:lang w:eastAsia="ru-RU"/>
          <w14:ligatures w14:val="none"/>
        </w:rPr>
        <w:t>                               (10.33)</w:t>
      </w:r>
      <w:r w:rsidRPr="00026324">
        <w:rPr>
          <w:rFonts w:ascii="Open Sans" w:eastAsia="Times New Roman" w:hAnsi="Open Sans" w:cs="Open Sans"/>
          <w:color w:val="444444"/>
          <w:kern w:val="0"/>
          <w:sz w:val="21"/>
          <w:szCs w:val="21"/>
          <w:lang w:eastAsia="ru-RU"/>
          <w14:ligatures w14:val="none"/>
        </w:rPr>
        <w:br/>
        <w:t>Принимая </w:t>
      </w:r>
      <w:r w:rsidRPr="00026324">
        <w:rPr>
          <w:rFonts w:ascii="Open Sans" w:eastAsia="Times New Roman" w:hAnsi="Open Sans" w:cs="Open Sans"/>
          <w:i/>
          <w:iCs/>
          <w:color w:val="DD0055"/>
          <w:kern w:val="0"/>
          <w:sz w:val="21"/>
          <w:szCs w:val="21"/>
          <w:lang w:eastAsia="ru-RU"/>
          <w14:ligatures w14:val="none"/>
        </w:rPr>
        <w:t>Р</w:t>
      </w:r>
      <w:r w:rsidRPr="00026324">
        <w:rPr>
          <w:rFonts w:ascii="Open Sans" w:eastAsia="Times New Roman" w:hAnsi="Open Sans" w:cs="Open Sans"/>
          <w:color w:val="444444"/>
          <w:kern w:val="0"/>
          <w:sz w:val="21"/>
          <w:szCs w:val="21"/>
          <w:lang w:eastAsia="ru-RU"/>
          <w14:ligatures w14:val="none"/>
        </w:rPr>
        <w:t>1==0, получим уравнение для расчета потока </w:t>
      </w:r>
      <w:r w:rsidRPr="00026324">
        <w:rPr>
          <w:rFonts w:ascii="Open Sans" w:eastAsia="Times New Roman" w:hAnsi="Open Sans" w:cs="Open Sans"/>
          <w:i/>
          <w:iCs/>
          <w:color w:val="DD0055"/>
          <w:kern w:val="0"/>
          <w:sz w:val="21"/>
          <w:szCs w:val="21"/>
          <w:lang w:eastAsia="ru-RU"/>
          <w14:ligatures w14:val="none"/>
        </w:rPr>
        <w:t>В</w:t>
      </w:r>
      <w:r w:rsidRPr="00026324">
        <w:rPr>
          <w:rFonts w:ascii="Open Sans" w:eastAsia="Times New Roman" w:hAnsi="Open Sans" w:cs="Open Sans"/>
          <w:color w:val="444444"/>
          <w:kern w:val="0"/>
          <w:sz w:val="21"/>
          <w:szCs w:val="21"/>
          <w:lang w:eastAsia="ru-RU"/>
          <w14:ligatures w14:val="none"/>
        </w:rPr>
        <w:t> в нормализованных условиях:</w:t>
      </w:r>
      <w:r w:rsidRPr="00026324">
        <w:rPr>
          <w:rFonts w:ascii="Open Sans" w:eastAsia="Times New Roman" w:hAnsi="Open Sans" w:cs="Open Sans"/>
          <w:color w:val="444444"/>
          <w:kern w:val="0"/>
          <w:sz w:val="21"/>
          <w:szCs w:val="21"/>
          <w:lang w:eastAsia="ru-RU"/>
          <w14:ligatures w14:val="none"/>
        </w:rPr>
        <w:br/>
      </w:r>
      <w:r w:rsidRPr="00026324">
        <w:rPr>
          <w:rFonts w:ascii="Open Sans" w:eastAsia="Times New Roman" w:hAnsi="Open Sans" w:cs="Open Sans"/>
          <w:noProof/>
          <w:color w:val="444444"/>
          <w:kern w:val="0"/>
          <w:sz w:val="21"/>
          <w:szCs w:val="21"/>
          <w:lang w:eastAsia="ru-RU"/>
          <w14:ligatures w14:val="none"/>
        </w:rPr>
        <w:drawing>
          <wp:inline distT="0" distB="0" distL="0" distR="0" wp14:anchorId="00644BD3" wp14:editId="40036CC2">
            <wp:extent cx="3078480" cy="944880"/>
            <wp:effectExtent l="0" t="0" r="7620" b="7620"/>
            <wp:docPr id="1035399185"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78480" cy="944880"/>
                    </a:xfrm>
                    <a:prstGeom prst="rect">
                      <a:avLst/>
                    </a:prstGeom>
                    <a:noFill/>
                    <a:ln>
                      <a:noFill/>
                    </a:ln>
                  </pic:spPr>
                </pic:pic>
              </a:graphicData>
            </a:graphic>
          </wp:inline>
        </w:drawing>
      </w:r>
      <w:r w:rsidRPr="00026324">
        <w:rPr>
          <w:rFonts w:ascii="Open Sans" w:eastAsia="Times New Roman" w:hAnsi="Open Sans" w:cs="Open Sans"/>
          <w:color w:val="444444"/>
          <w:kern w:val="0"/>
          <w:sz w:val="21"/>
          <w:szCs w:val="21"/>
          <w:lang w:eastAsia="ru-RU"/>
          <w14:ligatures w14:val="none"/>
        </w:rPr>
        <w:t>                       (10.34)</w:t>
      </w:r>
    </w:p>
    <w:p w14:paraId="7DFC9CEC" w14:textId="126465E9" w:rsidR="00026324" w:rsidRPr="00026324" w:rsidRDefault="00026324" w:rsidP="00026324">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026324">
        <w:rPr>
          <w:rFonts w:ascii="Open Sans" w:eastAsia="Times New Roman" w:hAnsi="Open Sans" w:cs="Open Sans"/>
          <w:noProof/>
          <w:color w:val="444444"/>
          <w:kern w:val="0"/>
          <w:sz w:val="21"/>
          <w:szCs w:val="21"/>
          <w:lang w:eastAsia="ru-RU"/>
          <w14:ligatures w14:val="none"/>
        </w:rPr>
        <w:drawing>
          <wp:inline distT="0" distB="0" distL="0" distR="0" wp14:anchorId="22BD8FA2" wp14:editId="4C41C661">
            <wp:extent cx="3429000" cy="2316480"/>
            <wp:effectExtent l="0" t="0" r="0" b="7620"/>
            <wp:docPr id="115063416"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429000" cy="2316480"/>
                    </a:xfrm>
                    <a:prstGeom prst="rect">
                      <a:avLst/>
                    </a:prstGeom>
                    <a:noFill/>
                    <a:ln>
                      <a:noFill/>
                    </a:ln>
                  </pic:spPr>
                </pic:pic>
              </a:graphicData>
            </a:graphic>
          </wp:inline>
        </w:drawing>
      </w:r>
      <w:r w:rsidRPr="00026324">
        <w:rPr>
          <w:rFonts w:ascii="Open Sans" w:eastAsia="Times New Roman" w:hAnsi="Open Sans" w:cs="Open Sans"/>
          <w:color w:val="444444"/>
          <w:kern w:val="0"/>
          <w:sz w:val="21"/>
          <w:szCs w:val="21"/>
          <w:lang w:eastAsia="ru-RU"/>
          <w14:ligatures w14:val="none"/>
        </w:rPr>
        <w:br/>
        <w:t>Рис. 10.25. Зависимость, проводимости от давления</w:t>
      </w:r>
    </w:p>
    <w:p w14:paraId="5F1D09EF" w14:textId="5CC67639" w:rsidR="00026324" w:rsidRPr="00026324" w:rsidRDefault="00026324" w:rsidP="00026324">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026324">
        <w:rPr>
          <w:rFonts w:ascii="Open Sans" w:eastAsia="Times New Roman" w:hAnsi="Open Sans" w:cs="Open Sans"/>
          <w:color w:val="444444"/>
          <w:kern w:val="0"/>
          <w:sz w:val="21"/>
          <w:szCs w:val="21"/>
          <w:lang w:eastAsia="ru-RU"/>
          <w14:ligatures w14:val="none"/>
        </w:rPr>
        <w:t>По формуле (10.34) можно рассчитать различные параметры процесса испытаний, осуществить выбор пробного газа, определить нормализованные значения потоков при заданных  параметрах процесса контроля.</w:t>
      </w:r>
      <w:r w:rsidRPr="00026324">
        <w:rPr>
          <w:rFonts w:ascii="Open Sans" w:eastAsia="Times New Roman" w:hAnsi="Open Sans" w:cs="Open Sans"/>
          <w:color w:val="444444"/>
          <w:kern w:val="0"/>
          <w:sz w:val="21"/>
          <w:szCs w:val="21"/>
          <w:lang w:eastAsia="ru-RU"/>
          <w14:ligatures w14:val="none"/>
        </w:rPr>
        <w:br/>
        <w:t xml:space="preserve">Общая характеристика явлений, лежащих в основе течеискательных устройств. Анализ гидродинамических процессов течеискательных устройств, рассмотренных выше, показывает, что большинство из них относится К проточным и характеризуется наличием непрерывного протока пробного газа через полость чувствительного. элемента. Правомерность этой общей для многих течеискательных устройств особенности может </w:t>
      </w:r>
      <w:r w:rsidRPr="00026324">
        <w:rPr>
          <w:rFonts w:ascii="Open Sans" w:eastAsia="Times New Roman" w:hAnsi="Open Sans" w:cs="Open Sans"/>
          <w:color w:val="444444"/>
          <w:kern w:val="0"/>
          <w:sz w:val="21"/>
          <w:szCs w:val="21"/>
          <w:lang w:eastAsia="ru-RU"/>
          <w14:ligatures w14:val="none"/>
        </w:rPr>
        <w:lastRenderedPageBreak/>
        <w:t>быть подтверждена если рассмотреть принципиальные схемы течеискателей, основанные на различных физических методах контроля (см. § 10.2). На рис. 10.26 представлены варианты проточных, масс-спектрометрического, галогенного, ионизационного устройств. Общим для всех рассматриваемых систем является проток газа в камере чувствительного элемента.</w:t>
      </w:r>
      <w:r w:rsidRPr="00026324">
        <w:rPr>
          <w:rFonts w:ascii="Open Sans" w:eastAsia="Times New Roman" w:hAnsi="Open Sans" w:cs="Open Sans"/>
          <w:color w:val="444444"/>
          <w:kern w:val="0"/>
          <w:sz w:val="21"/>
          <w:szCs w:val="21"/>
          <w:lang w:eastAsia="ru-RU"/>
          <w14:ligatures w14:val="none"/>
        </w:rPr>
        <w:br/>
      </w:r>
      <w:r w:rsidRPr="00026324">
        <w:rPr>
          <w:rFonts w:ascii="Open Sans" w:eastAsia="Times New Roman" w:hAnsi="Open Sans" w:cs="Open Sans"/>
          <w:noProof/>
          <w:color w:val="444444"/>
          <w:kern w:val="0"/>
          <w:sz w:val="21"/>
          <w:szCs w:val="21"/>
          <w:lang w:eastAsia="ru-RU"/>
          <w14:ligatures w14:val="none"/>
        </w:rPr>
        <w:drawing>
          <wp:inline distT="0" distB="0" distL="0" distR="0" wp14:anchorId="5D3BF33F" wp14:editId="5BC2D732">
            <wp:extent cx="5006340" cy="2034540"/>
            <wp:effectExtent l="0" t="0" r="3810" b="3810"/>
            <wp:docPr id="1285781896"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006340" cy="2034540"/>
                    </a:xfrm>
                    <a:prstGeom prst="rect">
                      <a:avLst/>
                    </a:prstGeom>
                    <a:noFill/>
                    <a:ln>
                      <a:noFill/>
                    </a:ln>
                  </pic:spPr>
                </pic:pic>
              </a:graphicData>
            </a:graphic>
          </wp:inline>
        </w:drawing>
      </w:r>
    </w:p>
    <w:p w14:paraId="78130DEE" w14:textId="711ED887" w:rsidR="00026324" w:rsidRPr="00026324" w:rsidRDefault="00026324" w:rsidP="00026324">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026324">
        <w:rPr>
          <w:rFonts w:ascii="Open Sans" w:eastAsia="Times New Roman" w:hAnsi="Open Sans" w:cs="Open Sans"/>
          <w:color w:val="444444"/>
          <w:kern w:val="0"/>
          <w:sz w:val="21"/>
          <w:szCs w:val="21"/>
          <w:lang w:eastAsia="ru-RU"/>
          <w14:ligatures w14:val="none"/>
        </w:rPr>
        <w:t>Рис. 10.26. Проточная масс-спектрометрическая схема испытаний (а),</w:t>
      </w:r>
      <w:r w:rsidRPr="00026324">
        <w:rPr>
          <w:rFonts w:ascii="Open Sans" w:eastAsia="Times New Roman" w:hAnsi="Open Sans" w:cs="Open Sans"/>
          <w:color w:val="444444"/>
          <w:kern w:val="0"/>
          <w:sz w:val="21"/>
          <w:szCs w:val="21"/>
          <w:lang w:eastAsia="ru-RU"/>
          <w14:ligatures w14:val="none"/>
        </w:rPr>
        <w:br/>
        <w:t>проточная галогенная схема испытаний (б), проточная ионизационная схема испытаний (в)</w:t>
      </w:r>
      <w:r w:rsidRPr="00026324">
        <w:rPr>
          <w:rFonts w:ascii="Open Sans" w:eastAsia="Times New Roman" w:hAnsi="Open Sans" w:cs="Open Sans"/>
          <w:color w:val="444444"/>
          <w:kern w:val="0"/>
          <w:sz w:val="21"/>
          <w:szCs w:val="21"/>
          <w:lang w:eastAsia="ru-RU"/>
          <w14:ligatures w14:val="none"/>
        </w:rPr>
        <w:br/>
      </w:r>
      <w:r w:rsidRPr="00026324">
        <w:rPr>
          <w:rFonts w:ascii="Open Sans" w:eastAsia="Times New Roman" w:hAnsi="Open Sans" w:cs="Open Sans"/>
          <w:noProof/>
          <w:color w:val="444444"/>
          <w:kern w:val="0"/>
          <w:sz w:val="21"/>
          <w:szCs w:val="21"/>
          <w:lang w:eastAsia="ru-RU"/>
          <w14:ligatures w14:val="none"/>
        </w:rPr>
        <w:drawing>
          <wp:inline distT="0" distB="0" distL="0" distR="0" wp14:anchorId="5FEFA55B" wp14:editId="046350C9">
            <wp:extent cx="1889760" cy="1607820"/>
            <wp:effectExtent l="0" t="0" r="0" b="0"/>
            <wp:docPr id="155642747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89760" cy="1607820"/>
                    </a:xfrm>
                    <a:prstGeom prst="rect">
                      <a:avLst/>
                    </a:prstGeom>
                    <a:noFill/>
                    <a:ln>
                      <a:noFill/>
                    </a:ln>
                  </pic:spPr>
                </pic:pic>
              </a:graphicData>
            </a:graphic>
          </wp:inline>
        </w:drawing>
      </w:r>
      <w:r w:rsidRPr="00026324">
        <w:rPr>
          <w:rFonts w:ascii="Open Sans" w:eastAsia="Times New Roman" w:hAnsi="Open Sans" w:cs="Open Sans"/>
          <w:color w:val="444444"/>
          <w:kern w:val="0"/>
          <w:sz w:val="21"/>
          <w:szCs w:val="21"/>
          <w:lang w:eastAsia="ru-RU"/>
          <w14:ligatures w14:val="none"/>
        </w:rPr>
        <w:br/>
        <w:t>Рис. 10.27 замкнутая схема испытаний</w:t>
      </w:r>
    </w:p>
    <w:p w14:paraId="0E0A6A2F" w14:textId="0BE16145" w:rsidR="00026324" w:rsidRPr="00026324" w:rsidRDefault="00026324" w:rsidP="00026324">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026324">
        <w:rPr>
          <w:rFonts w:ascii="Open Sans" w:eastAsia="Times New Roman" w:hAnsi="Open Sans" w:cs="Open Sans"/>
          <w:color w:val="444444"/>
          <w:kern w:val="0"/>
          <w:sz w:val="21"/>
          <w:szCs w:val="21"/>
          <w:lang w:eastAsia="ru-RU"/>
          <w14:ligatures w14:val="none"/>
        </w:rPr>
        <w:t>Действительно для большинства вариантов масс-спектрометрических течеискательных устройств (рис.10.26, а) необходимо обеспечить определенный вакуум в камере 1, достигаемый благодаря постоянной работе вакуумного откачивающего устройства 2. При использовании </w:t>
      </w:r>
      <w:hyperlink r:id="rId21" w:tgtFrame="_parent" w:history="1">
        <w:r w:rsidRPr="00026324">
          <w:rPr>
            <w:rFonts w:ascii="Open Sans" w:eastAsia="Times New Roman" w:hAnsi="Open Sans" w:cs="Open Sans"/>
            <w:color w:val="1FA2D6"/>
            <w:kern w:val="0"/>
            <w:sz w:val="21"/>
            <w:szCs w:val="21"/>
            <w:u w:val="single"/>
            <w:lang w:eastAsia="ru-RU"/>
            <w14:ligatures w14:val="none"/>
          </w:rPr>
          <w:t>галогенных течеискателей</w:t>
        </w:r>
      </w:hyperlink>
      <w:r w:rsidRPr="00026324">
        <w:rPr>
          <w:rFonts w:ascii="Open Sans" w:eastAsia="Times New Roman" w:hAnsi="Open Sans" w:cs="Open Sans"/>
          <w:color w:val="444444"/>
          <w:kern w:val="0"/>
          <w:sz w:val="21"/>
          <w:szCs w:val="21"/>
          <w:lang w:eastAsia="ru-RU"/>
          <w14:ligatures w14:val="none"/>
        </w:rPr>
        <w:t> (рис. 10.26, б) поток смеси воздуха с пробным газом необходим для обеспечения работоспособности чувствительного элемента в виде платинового электрода, установленного в проточной полости 4. Шунтирующая линия 3 предназначена для обеспечения протока чистого воздуха в промежутках контроля. Подобным образом можно подтвердить необходимость протока газа при использовании других течеискательных устройств, например ионизационного (рис. 10.26, в). В этой системе камера 1 и преобразователь 5 продуваются чистым азотом как газом-носителем.</w:t>
      </w:r>
      <w:r w:rsidRPr="00026324">
        <w:rPr>
          <w:rFonts w:ascii="Open Sans" w:eastAsia="Times New Roman" w:hAnsi="Open Sans" w:cs="Open Sans"/>
          <w:color w:val="444444"/>
          <w:kern w:val="0"/>
          <w:sz w:val="21"/>
          <w:szCs w:val="21"/>
          <w:lang w:eastAsia="ru-RU"/>
          <w14:ligatures w14:val="none"/>
        </w:rPr>
        <w:br/>
        <w:t>К течеискательным устройствам проточного типа относятся также катарометрические инфракрасные, электронозахватные и некоторые другие.</w:t>
      </w:r>
      <w:r w:rsidRPr="00026324">
        <w:rPr>
          <w:rFonts w:ascii="Open Sans" w:eastAsia="Times New Roman" w:hAnsi="Open Sans" w:cs="Open Sans"/>
          <w:color w:val="444444"/>
          <w:kern w:val="0"/>
          <w:sz w:val="21"/>
          <w:szCs w:val="21"/>
          <w:lang w:eastAsia="ru-RU"/>
          <w14:ligatures w14:val="none"/>
        </w:rPr>
        <w:br/>
        <w:t>Еще одна отличительная особенность проточных течеискательных систем состоит в том, что основным регистрируемым параметром служит парциальное давление пробного газа, высокочувствительный контроль которого осуществляется газоаналитическими преобразователями.</w:t>
      </w:r>
      <w:r w:rsidRPr="00026324">
        <w:rPr>
          <w:rFonts w:ascii="Open Sans" w:eastAsia="Times New Roman" w:hAnsi="Open Sans" w:cs="Open Sans"/>
          <w:color w:val="444444"/>
          <w:kern w:val="0"/>
          <w:sz w:val="21"/>
          <w:szCs w:val="21"/>
          <w:lang w:eastAsia="ru-RU"/>
          <w14:ligatures w14:val="none"/>
        </w:rPr>
        <w:br/>
        <w:t xml:space="preserve">Частный случай проточных течеискательных устройств — замкнутые системы (рис. 10.27). В этой схеме испытательная камера 2, канал 3 и камера преобразователя 4 образуют замкнутую систему, в которой происходит изменение общего давления газа при наличии течи в стенке контролируемого изделия 1. Изменение этого давления регистрируется </w:t>
      </w:r>
      <w:r w:rsidRPr="00026324">
        <w:rPr>
          <w:rFonts w:ascii="Open Sans" w:eastAsia="Times New Roman" w:hAnsi="Open Sans" w:cs="Open Sans"/>
          <w:color w:val="444444"/>
          <w:kern w:val="0"/>
          <w:sz w:val="21"/>
          <w:szCs w:val="21"/>
          <w:lang w:eastAsia="ru-RU"/>
          <w14:ligatures w14:val="none"/>
        </w:rPr>
        <w:lastRenderedPageBreak/>
        <w:t>преобразователем (манометром). В отличие от проточных систем замкнутые устройства не имеют протока газа через полость чувствительного элемента. Они обладают меньшими возможностями, а в качестве регистратора утечки, как правило, используется манометрическое (вакуумметрическое) устройство.</w:t>
      </w:r>
      <w:r w:rsidRPr="00026324">
        <w:rPr>
          <w:rFonts w:ascii="Open Sans" w:eastAsia="Times New Roman" w:hAnsi="Open Sans" w:cs="Open Sans"/>
          <w:color w:val="444444"/>
          <w:kern w:val="0"/>
          <w:sz w:val="21"/>
          <w:szCs w:val="21"/>
          <w:lang w:eastAsia="ru-RU"/>
          <w14:ligatures w14:val="none"/>
        </w:rPr>
        <w:br/>
        <w:t>Приведенное разделение течеискательных устройств удобно также с точки зрения математического анализа. В общем виде математические модели нестационарных процессов течеискательных устройств базируются на обобщенном уравнении Кнудсена и составлены с учетом баланса потоков газа во взаимосвязанной системе «объект контроля — испытательная камера - регистратор». На примере масс-спектрометрического течеискательного устройства система уравнений нестационарного процесса изменения парциального давления имеет вид</w:t>
      </w:r>
      <w:r w:rsidRPr="00026324">
        <w:rPr>
          <w:rFonts w:ascii="Open Sans" w:eastAsia="Times New Roman" w:hAnsi="Open Sans" w:cs="Open Sans"/>
          <w:color w:val="444444"/>
          <w:kern w:val="0"/>
          <w:sz w:val="21"/>
          <w:szCs w:val="21"/>
          <w:lang w:eastAsia="ru-RU"/>
          <w14:ligatures w14:val="none"/>
        </w:rPr>
        <w:br/>
      </w:r>
      <w:r w:rsidRPr="00026324">
        <w:rPr>
          <w:rFonts w:ascii="Open Sans" w:eastAsia="Times New Roman" w:hAnsi="Open Sans" w:cs="Open Sans"/>
          <w:noProof/>
          <w:color w:val="444444"/>
          <w:kern w:val="0"/>
          <w:sz w:val="21"/>
          <w:szCs w:val="21"/>
          <w:lang w:eastAsia="ru-RU"/>
          <w14:ligatures w14:val="none"/>
        </w:rPr>
        <w:drawing>
          <wp:inline distT="0" distB="0" distL="0" distR="0" wp14:anchorId="07A77C5D" wp14:editId="2C24691E">
            <wp:extent cx="2255520" cy="388620"/>
            <wp:effectExtent l="0" t="0" r="0" b="0"/>
            <wp:docPr id="1057199335"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255520" cy="388620"/>
                    </a:xfrm>
                    <a:prstGeom prst="rect">
                      <a:avLst/>
                    </a:prstGeom>
                    <a:noFill/>
                    <a:ln>
                      <a:noFill/>
                    </a:ln>
                  </pic:spPr>
                </pic:pic>
              </a:graphicData>
            </a:graphic>
          </wp:inline>
        </w:drawing>
      </w:r>
      <w:r w:rsidRPr="00026324">
        <w:rPr>
          <w:rFonts w:ascii="Open Sans" w:eastAsia="Times New Roman" w:hAnsi="Open Sans" w:cs="Open Sans"/>
          <w:color w:val="444444"/>
          <w:kern w:val="0"/>
          <w:sz w:val="21"/>
          <w:szCs w:val="21"/>
          <w:lang w:eastAsia="ru-RU"/>
          <w14:ligatures w14:val="none"/>
        </w:rPr>
        <w:t>                                   (10.35)</w:t>
      </w:r>
      <w:r w:rsidRPr="00026324">
        <w:rPr>
          <w:rFonts w:ascii="Open Sans" w:eastAsia="Times New Roman" w:hAnsi="Open Sans" w:cs="Open Sans"/>
          <w:color w:val="444444"/>
          <w:kern w:val="0"/>
          <w:sz w:val="21"/>
          <w:szCs w:val="21"/>
          <w:lang w:eastAsia="ru-RU"/>
          <w14:ligatures w14:val="none"/>
        </w:rPr>
        <w:br/>
      </w:r>
      <w:r w:rsidRPr="00026324">
        <w:rPr>
          <w:rFonts w:ascii="Open Sans" w:eastAsia="Times New Roman" w:hAnsi="Open Sans" w:cs="Open Sans"/>
          <w:noProof/>
          <w:color w:val="444444"/>
          <w:kern w:val="0"/>
          <w:sz w:val="21"/>
          <w:szCs w:val="21"/>
          <w:lang w:eastAsia="ru-RU"/>
          <w14:ligatures w14:val="none"/>
        </w:rPr>
        <w:drawing>
          <wp:inline distT="0" distB="0" distL="0" distR="0" wp14:anchorId="3F5AA944" wp14:editId="5D300B3A">
            <wp:extent cx="2560320" cy="388620"/>
            <wp:effectExtent l="0" t="0" r="0" b="0"/>
            <wp:docPr id="1669126121"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560320" cy="388620"/>
                    </a:xfrm>
                    <a:prstGeom prst="rect">
                      <a:avLst/>
                    </a:prstGeom>
                    <a:noFill/>
                    <a:ln>
                      <a:noFill/>
                    </a:ln>
                  </pic:spPr>
                </pic:pic>
              </a:graphicData>
            </a:graphic>
          </wp:inline>
        </w:drawing>
      </w:r>
      <w:r w:rsidRPr="00026324">
        <w:rPr>
          <w:rFonts w:ascii="Open Sans" w:eastAsia="Times New Roman" w:hAnsi="Open Sans" w:cs="Open Sans"/>
          <w:color w:val="444444"/>
          <w:kern w:val="0"/>
          <w:sz w:val="21"/>
          <w:szCs w:val="21"/>
          <w:lang w:eastAsia="ru-RU"/>
          <w14:ligatures w14:val="none"/>
        </w:rPr>
        <w:t>                              (10.36)</w:t>
      </w:r>
      <w:r w:rsidRPr="00026324">
        <w:rPr>
          <w:rFonts w:ascii="Open Sans" w:eastAsia="Times New Roman" w:hAnsi="Open Sans" w:cs="Open Sans"/>
          <w:color w:val="444444"/>
          <w:kern w:val="0"/>
          <w:sz w:val="21"/>
          <w:szCs w:val="21"/>
          <w:lang w:eastAsia="ru-RU"/>
          <w14:ligatures w14:val="none"/>
        </w:rPr>
        <w:br/>
        <w:t>В приведенных уравнениях коэффициенты А0 и A1 определяются:</w:t>
      </w:r>
      <w:r w:rsidRPr="00026324">
        <w:rPr>
          <w:rFonts w:ascii="Open Sans" w:eastAsia="Times New Roman" w:hAnsi="Open Sans" w:cs="Open Sans"/>
          <w:color w:val="444444"/>
          <w:kern w:val="0"/>
          <w:sz w:val="21"/>
          <w:szCs w:val="21"/>
          <w:lang w:eastAsia="ru-RU"/>
          <w14:ligatures w14:val="none"/>
        </w:rPr>
        <w:br/>
        <w:t>для круглых сквозных дефектов</w:t>
      </w:r>
      <w:r w:rsidRPr="00026324">
        <w:rPr>
          <w:rFonts w:ascii="Open Sans" w:eastAsia="Times New Roman" w:hAnsi="Open Sans" w:cs="Open Sans"/>
          <w:color w:val="444444"/>
          <w:kern w:val="0"/>
          <w:sz w:val="21"/>
          <w:szCs w:val="21"/>
          <w:lang w:eastAsia="ru-RU"/>
          <w14:ligatures w14:val="none"/>
        </w:rPr>
        <w:br/>
      </w:r>
      <w:r w:rsidRPr="00026324">
        <w:rPr>
          <w:rFonts w:ascii="Open Sans" w:eastAsia="Times New Roman" w:hAnsi="Open Sans" w:cs="Open Sans"/>
          <w:noProof/>
          <w:color w:val="444444"/>
          <w:kern w:val="0"/>
          <w:sz w:val="21"/>
          <w:szCs w:val="21"/>
          <w:lang w:eastAsia="ru-RU"/>
          <w14:ligatures w14:val="none"/>
        </w:rPr>
        <w:drawing>
          <wp:inline distT="0" distB="0" distL="0" distR="0" wp14:anchorId="141C795C" wp14:editId="74B1D02A">
            <wp:extent cx="1752600" cy="426720"/>
            <wp:effectExtent l="0" t="0" r="0" b="0"/>
            <wp:docPr id="215775513"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752600" cy="426720"/>
                    </a:xfrm>
                    <a:prstGeom prst="rect">
                      <a:avLst/>
                    </a:prstGeom>
                    <a:noFill/>
                    <a:ln>
                      <a:noFill/>
                    </a:ln>
                  </pic:spPr>
                </pic:pic>
              </a:graphicData>
            </a:graphic>
          </wp:inline>
        </w:drawing>
      </w:r>
      <w:r w:rsidRPr="00026324">
        <w:rPr>
          <w:rFonts w:ascii="Open Sans" w:eastAsia="Times New Roman" w:hAnsi="Open Sans" w:cs="Open Sans"/>
          <w:color w:val="444444"/>
          <w:kern w:val="0"/>
          <w:sz w:val="21"/>
          <w:szCs w:val="21"/>
          <w:lang w:eastAsia="ru-RU"/>
          <w14:ligatures w14:val="none"/>
        </w:rPr>
        <w:t>                                          (10.37)</w:t>
      </w:r>
      <w:r w:rsidRPr="00026324">
        <w:rPr>
          <w:rFonts w:ascii="Open Sans" w:eastAsia="Times New Roman" w:hAnsi="Open Sans" w:cs="Open Sans"/>
          <w:color w:val="444444"/>
          <w:kern w:val="0"/>
          <w:sz w:val="21"/>
          <w:szCs w:val="21"/>
          <w:lang w:eastAsia="ru-RU"/>
          <w14:ligatures w14:val="none"/>
        </w:rPr>
        <w:br/>
        <w:t>для щелевидных сквозных дефектов</w:t>
      </w:r>
      <w:r w:rsidRPr="00026324">
        <w:rPr>
          <w:rFonts w:ascii="Open Sans" w:eastAsia="Times New Roman" w:hAnsi="Open Sans" w:cs="Open Sans"/>
          <w:color w:val="444444"/>
          <w:kern w:val="0"/>
          <w:sz w:val="21"/>
          <w:szCs w:val="21"/>
          <w:lang w:eastAsia="ru-RU"/>
          <w14:ligatures w14:val="none"/>
        </w:rPr>
        <w:br/>
      </w:r>
      <w:r w:rsidRPr="00026324">
        <w:rPr>
          <w:rFonts w:ascii="Open Sans" w:eastAsia="Times New Roman" w:hAnsi="Open Sans" w:cs="Open Sans"/>
          <w:noProof/>
          <w:color w:val="444444"/>
          <w:kern w:val="0"/>
          <w:sz w:val="21"/>
          <w:szCs w:val="21"/>
          <w:lang w:eastAsia="ru-RU"/>
          <w14:ligatures w14:val="none"/>
        </w:rPr>
        <w:drawing>
          <wp:inline distT="0" distB="0" distL="0" distR="0" wp14:anchorId="2368883A" wp14:editId="71FAA1B7">
            <wp:extent cx="3345180" cy="457200"/>
            <wp:effectExtent l="0" t="0" r="7620" b="0"/>
            <wp:docPr id="1224762377"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345180" cy="457200"/>
                    </a:xfrm>
                    <a:prstGeom prst="rect">
                      <a:avLst/>
                    </a:prstGeom>
                    <a:noFill/>
                    <a:ln>
                      <a:noFill/>
                    </a:ln>
                  </pic:spPr>
                </pic:pic>
              </a:graphicData>
            </a:graphic>
          </wp:inline>
        </w:drawing>
      </w:r>
      <w:r w:rsidRPr="00026324">
        <w:rPr>
          <w:rFonts w:ascii="Open Sans" w:eastAsia="Times New Roman" w:hAnsi="Open Sans" w:cs="Open Sans"/>
          <w:color w:val="444444"/>
          <w:kern w:val="0"/>
          <w:sz w:val="21"/>
          <w:szCs w:val="21"/>
          <w:lang w:eastAsia="ru-RU"/>
          <w14:ligatures w14:val="none"/>
        </w:rPr>
        <w:t>                            (10.38)</w:t>
      </w:r>
      <w:r w:rsidRPr="00026324">
        <w:rPr>
          <w:rFonts w:ascii="Open Sans" w:eastAsia="Times New Roman" w:hAnsi="Open Sans" w:cs="Open Sans"/>
          <w:color w:val="444444"/>
          <w:kern w:val="0"/>
          <w:sz w:val="21"/>
          <w:szCs w:val="21"/>
          <w:lang w:eastAsia="ru-RU"/>
          <w14:ligatures w14:val="none"/>
        </w:rPr>
        <w:br/>
        <w:t>Здесь </w:t>
      </w:r>
      <w:r w:rsidRPr="00026324">
        <w:rPr>
          <w:rFonts w:ascii="Open Sans" w:eastAsia="Times New Roman" w:hAnsi="Open Sans" w:cs="Open Sans"/>
          <w:i/>
          <w:iCs/>
          <w:color w:val="DD0055"/>
          <w:kern w:val="0"/>
          <w:sz w:val="21"/>
          <w:szCs w:val="21"/>
          <w:lang w:eastAsia="ru-RU"/>
          <w14:ligatures w14:val="none"/>
        </w:rPr>
        <w:t>V</w:t>
      </w:r>
      <w:r w:rsidRPr="00026324">
        <w:rPr>
          <w:rFonts w:ascii="Open Sans" w:eastAsia="Times New Roman" w:hAnsi="Open Sans" w:cs="Open Sans"/>
          <w:color w:val="444444"/>
          <w:kern w:val="0"/>
          <w:sz w:val="21"/>
          <w:szCs w:val="21"/>
          <w:lang w:eastAsia="ru-RU"/>
          <w14:ligatures w14:val="none"/>
        </w:rPr>
        <w:t>и — объем объекта контроля, м3; </w:t>
      </w:r>
      <w:r w:rsidRPr="00026324">
        <w:rPr>
          <w:rFonts w:ascii="Open Sans" w:eastAsia="Times New Roman" w:hAnsi="Open Sans" w:cs="Open Sans"/>
          <w:i/>
          <w:iCs/>
          <w:color w:val="DD0055"/>
          <w:kern w:val="0"/>
          <w:sz w:val="21"/>
          <w:szCs w:val="21"/>
          <w:lang w:eastAsia="ru-RU"/>
          <w14:ligatures w14:val="none"/>
        </w:rPr>
        <w:t>V</w:t>
      </w:r>
      <w:r w:rsidRPr="00026324">
        <w:rPr>
          <w:rFonts w:ascii="Open Sans" w:eastAsia="Times New Roman" w:hAnsi="Open Sans" w:cs="Open Sans"/>
          <w:color w:val="444444"/>
          <w:kern w:val="0"/>
          <w:sz w:val="21"/>
          <w:szCs w:val="21"/>
          <w:lang w:eastAsia="ru-RU"/>
          <w14:ligatures w14:val="none"/>
        </w:rPr>
        <w:t>к — объем испытательной камеры, м3; </w:t>
      </w:r>
      <w:r w:rsidRPr="00026324">
        <w:rPr>
          <w:rFonts w:ascii="Open Sans" w:eastAsia="Times New Roman" w:hAnsi="Open Sans" w:cs="Open Sans"/>
          <w:i/>
          <w:iCs/>
          <w:color w:val="DD0055"/>
          <w:kern w:val="0"/>
          <w:sz w:val="21"/>
          <w:szCs w:val="21"/>
          <w:lang w:eastAsia="ru-RU"/>
          <w14:ligatures w14:val="none"/>
        </w:rPr>
        <w:t>Р</w:t>
      </w:r>
      <w:r w:rsidRPr="00026324">
        <w:rPr>
          <w:rFonts w:ascii="Open Sans" w:eastAsia="Times New Roman" w:hAnsi="Open Sans" w:cs="Open Sans"/>
          <w:color w:val="444444"/>
          <w:kern w:val="0"/>
          <w:sz w:val="21"/>
          <w:szCs w:val="21"/>
          <w:lang w:eastAsia="ru-RU"/>
          <w14:ligatures w14:val="none"/>
        </w:rPr>
        <w:t>и — парциальное давление пробного газа в контролируемом изделии, Н/м2; </w:t>
      </w:r>
      <w:r w:rsidRPr="00026324">
        <w:rPr>
          <w:rFonts w:ascii="Open Sans" w:eastAsia="Times New Roman" w:hAnsi="Open Sans" w:cs="Open Sans"/>
          <w:i/>
          <w:iCs/>
          <w:color w:val="DD0055"/>
          <w:kern w:val="0"/>
          <w:sz w:val="21"/>
          <w:szCs w:val="21"/>
          <w:lang w:eastAsia="ru-RU"/>
          <w14:ligatures w14:val="none"/>
        </w:rPr>
        <w:t>Р</w:t>
      </w:r>
      <w:r w:rsidRPr="00026324">
        <w:rPr>
          <w:rFonts w:ascii="Open Sans" w:eastAsia="Times New Roman" w:hAnsi="Open Sans" w:cs="Open Sans"/>
          <w:color w:val="444444"/>
          <w:kern w:val="0"/>
          <w:sz w:val="21"/>
          <w:szCs w:val="21"/>
          <w:lang w:eastAsia="ru-RU"/>
          <w14:ligatures w14:val="none"/>
        </w:rPr>
        <w:t>к — парциальное давление пробного газа в камере, Н/м2; А1 — проводимость сквозного дефекта, м3/с; А0 — постоянный коэффициент, м5/(с•Н); Sэ — эффективная быстрота откачки, м3/с; r — радиус сквозного дефекта, м; μr — коэффициент динамической вязкости, Н•с/м2; </w:t>
      </w:r>
      <w:r w:rsidRPr="00026324">
        <w:rPr>
          <w:rFonts w:ascii="Open Sans" w:eastAsia="Times New Roman" w:hAnsi="Open Sans" w:cs="Open Sans"/>
          <w:i/>
          <w:iCs/>
          <w:color w:val="DD0055"/>
          <w:kern w:val="0"/>
          <w:sz w:val="21"/>
          <w:szCs w:val="21"/>
          <w:lang w:eastAsia="ru-RU"/>
          <w14:ligatures w14:val="none"/>
        </w:rPr>
        <w:t>l</w:t>
      </w:r>
      <w:r w:rsidRPr="00026324">
        <w:rPr>
          <w:rFonts w:ascii="Open Sans" w:eastAsia="Times New Roman" w:hAnsi="Open Sans" w:cs="Open Sans"/>
          <w:color w:val="444444"/>
          <w:kern w:val="0"/>
          <w:sz w:val="21"/>
          <w:szCs w:val="21"/>
          <w:lang w:eastAsia="ru-RU"/>
          <w14:ligatures w14:val="none"/>
        </w:rPr>
        <w:t> — длина сквозного дефекта, м; </w:t>
      </w:r>
      <w:r w:rsidRPr="00026324">
        <w:rPr>
          <w:rFonts w:ascii="Open Sans" w:eastAsia="Times New Roman" w:hAnsi="Open Sans" w:cs="Open Sans"/>
          <w:i/>
          <w:iCs/>
          <w:color w:val="DD0055"/>
          <w:kern w:val="0"/>
          <w:sz w:val="21"/>
          <w:szCs w:val="21"/>
          <w:lang w:eastAsia="ru-RU"/>
          <w14:ligatures w14:val="none"/>
        </w:rPr>
        <w:t>V</w:t>
      </w:r>
      <w:r w:rsidRPr="00026324">
        <w:rPr>
          <w:rFonts w:ascii="Open Sans" w:eastAsia="Times New Roman" w:hAnsi="Open Sans" w:cs="Open Sans"/>
          <w:color w:val="444444"/>
          <w:kern w:val="0"/>
          <w:sz w:val="21"/>
          <w:szCs w:val="21"/>
          <w:lang w:eastAsia="ru-RU"/>
          <w14:ligatures w14:val="none"/>
        </w:rPr>
        <w:t> — средняя скорость молекул газа, м/сек; δ — ширина щели, м; </w:t>
      </w:r>
      <w:r w:rsidRPr="00026324">
        <w:rPr>
          <w:rFonts w:ascii="Open Sans" w:eastAsia="Times New Roman" w:hAnsi="Open Sans" w:cs="Open Sans"/>
          <w:i/>
          <w:iCs/>
          <w:color w:val="DD0055"/>
          <w:kern w:val="0"/>
          <w:sz w:val="21"/>
          <w:szCs w:val="21"/>
          <w:lang w:eastAsia="ru-RU"/>
          <w14:ligatures w14:val="none"/>
        </w:rPr>
        <w:t>h</w:t>
      </w:r>
      <w:r w:rsidRPr="00026324">
        <w:rPr>
          <w:rFonts w:ascii="Open Sans" w:eastAsia="Times New Roman" w:hAnsi="Open Sans" w:cs="Open Sans"/>
          <w:color w:val="444444"/>
          <w:kern w:val="0"/>
          <w:sz w:val="21"/>
          <w:szCs w:val="21"/>
          <w:lang w:eastAsia="ru-RU"/>
          <w14:ligatures w14:val="none"/>
        </w:rPr>
        <w:t> — высота щели, м; R — универсальная газовая постоянная; м2/(с2•град); </w:t>
      </w:r>
      <w:r w:rsidRPr="00026324">
        <w:rPr>
          <w:rFonts w:ascii="Open Sans" w:eastAsia="Times New Roman" w:hAnsi="Open Sans" w:cs="Open Sans"/>
          <w:i/>
          <w:iCs/>
          <w:color w:val="DD0055"/>
          <w:kern w:val="0"/>
          <w:sz w:val="21"/>
          <w:szCs w:val="21"/>
          <w:lang w:eastAsia="ru-RU"/>
          <w14:ligatures w14:val="none"/>
        </w:rPr>
        <w:t>Т</w:t>
      </w:r>
      <w:r w:rsidRPr="00026324">
        <w:rPr>
          <w:rFonts w:ascii="Open Sans" w:eastAsia="Times New Roman" w:hAnsi="Open Sans" w:cs="Open Sans"/>
          <w:color w:val="444444"/>
          <w:kern w:val="0"/>
          <w:sz w:val="21"/>
          <w:szCs w:val="21"/>
          <w:lang w:eastAsia="ru-RU"/>
          <w14:ligatures w14:val="none"/>
        </w:rPr>
        <w:t> — абсолютная температура, К; </w:t>
      </w:r>
      <w:r w:rsidRPr="00026324">
        <w:rPr>
          <w:rFonts w:ascii="Open Sans" w:eastAsia="Times New Roman" w:hAnsi="Open Sans" w:cs="Open Sans"/>
          <w:i/>
          <w:iCs/>
          <w:color w:val="DD0055"/>
          <w:kern w:val="0"/>
          <w:sz w:val="21"/>
          <w:szCs w:val="21"/>
          <w:lang w:eastAsia="ru-RU"/>
          <w14:ligatures w14:val="none"/>
        </w:rPr>
        <w:t>М</w:t>
      </w:r>
      <w:r w:rsidRPr="00026324">
        <w:rPr>
          <w:rFonts w:ascii="Open Sans" w:eastAsia="Times New Roman" w:hAnsi="Open Sans" w:cs="Open Sans"/>
          <w:color w:val="444444"/>
          <w:kern w:val="0"/>
          <w:sz w:val="21"/>
          <w:szCs w:val="21"/>
          <w:lang w:eastAsia="ru-RU"/>
          <w14:ligatures w14:val="none"/>
        </w:rPr>
        <w:t> — молекулярная масса газа, кг/моль.</w:t>
      </w:r>
      <w:r w:rsidRPr="00026324">
        <w:rPr>
          <w:rFonts w:ascii="Open Sans" w:eastAsia="Times New Roman" w:hAnsi="Open Sans" w:cs="Open Sans"/>
          <w:color w:val="444444"/>
          <w:kern w:val="0"/>
          <w:sz w:val="21"/>
          <w:szCs w:val="21"/>
          <w:lang w:eastAsia="ru-RU"/>
          <w14:ligatures w14:val="none"/>
        </w:rPr>
        <w:br/>
        <w:t>Для молекулярного режима истечения газа система уравнений может быть получена, если выполнить условие</w:t>
      </w:r>
      <w:r w:rsidRPr="00026324">
        <w:rPr>
          <w:rFonts w:ascii="Open Sans" w:eastAsia="Times New Roman" w:hAnsi="Open Sans" w:cs="Open Sans"/>
          <w:color w:val="444444"/>
          <w:kern w:val="0"/>
          <w:sz w:val="21"/>
          <w:szCs w:val="21"/>
          <w:lang w:eastAsia="ru-RU"/>
          <w14:ligatures w14:val="none"/>
        </w:rPr>
        <w:br/>
      </w:r>
      <w:r w:rsidRPr="00026324">
        <w:rPr>
          <w:rFonts w:ascii="Open Sans" w:eastAsia="Times New Roman" w:hAnsi="Open Sans" w:cs="Open Sans"/>
          <w:noProof/>
          <w:color w:val="444444"/>
          <w:kern w:val="0"/>
          <w:sz w:val="21"/>
          <w:szCs w:val="21"/>
          <w:lang w:eastAsia="ru-RU"/>
          <w14:ligatures w14:val="none"/>
        </w:rPr>
        <w:drawing>
          <wp:inline distT="0" distB="0" distL="0" distR="0" wp14:anchorId="7C3EEFAF" wp14:editId="26C6B185">
            <wp:extent cx="1684020" cy="236220"/>
            <wp:effectExtent l="0" t="0" r="0" b="0"/>
            <wp:docPr id="1998719082"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684020" cy="236220"/>
                    </a:xfrm>
                    <a:prstGeom prst="rect">
                      <a:avLst/>
                    </a:prstGeom>
                    <a:noFill/>
                    <a:ln>
                      <a:noFill/>
                    </a:ln>
                  </pic:spPr>
                </pic:pic>
              </a:graphicData>
            </a:graphic>
          </wp:inline>
        </w:drawing>
      </w:r>
      <w:r w:rsidRPr="00026324">
        <w:rPr>
          <w:rFonts w:ascii="Open Sans" w:eastAsia="Times New Roman" w:hAnsi="Open Sans" w:cs="Open Sans"/>
          <w:color w:val="444444"/>
          <w:kern w:val="0"/>
          <w:sz w:val="21"/>
          <w:szCs w:val="21"/>
          <w:lang w:eastAsia="ru-RU"/>
          <w14:ligatures w14:val="none"/>
        </w:rPr>
        <w:t>                                           (10.39)</w:t>
      </w:r>
      <w:r w:rsidRPr="00026324">
        <w:rPr>
          <w:rFonts w:ascii="Open Sans" w:eastAsia="Times New Roman" w:hAnsi="Open Sans" w:cs="Open Sans"/>
          <w:color w:val="444444"/>
          <w:kern w:val="0"/>
          <w:sz w:val="21"/>
          <w:szCs w:val="21"/>
          <w:lang w:eastAsia="ru-RU"/>
          <w14:ligatures w14:val="none"/>
        </w:rPr>
        <w:br/>
        <w:t>которое с учетом (10.37), (10.38) может быть преобразовано:</w:t>
      </w:r>
      <w:r w:rsidRPr="00026324">
        <w:rPr>
          <w:rFonts w:ascii="Open Sans" w:eastAsia="Times New Roman" w:hAnsi="Open Sans" w:cs="Open Sans"/>
          <w:color w:val="444444"/>
          <w:kern w:val="0"/>
          <w:sz w:val="21"/>
          <w:szCs w:val="21"/>
          <w:lang w:eastAsia="ru-RU"/>
          <w14:ligatures w14:val="none"/>
        </w:rPr>
        <w:br/>
      </w:r>
      <w:r w:rsidRPr="00026324">
        <w:rPr>
          <w:rFonts w:ascii="Open Sans" w:eastAsia="Times New Roman" w:hAnsi="Open Sans" w:cs="Open Sans"/>
          <w:noProof/>
          <w:color w:val="444444"/>
          <w:kern w:val="0"/>
          <w:sz w:val="21"/>
          <w:szCs w:val="21"/>
          <w:lang w:eastAsia="ru-RU"/>
          <w14:ligatures w14:val="none"/>
        </w:rPr>
        <w:drawing>
          <wp:inline distT="0" distB="0" distL="0" distR="0" wp14:anchorId="157E0BE1" wp14:editId="04980898">
            <wp:extent cx="960120" cy="228600"/>
            <wp:effectExtent l="0" t="0" r="0" b="0"/>
            <wp:docPr id="478534193"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960120" cy="228600"/>
                    </a:xfrm>
                    <a:prstGeom prst="rect">
                      <a:avLst/>
                    </a:prstGeom>
                    <a:noFill/>
                    <a:ln>
                      <a:noFill/>
                    </a:ln>
                  </pic:spPr>
                </pic:pic>
              </a:graphicData>
            </a:graphic>
          </wp:inline>
        </w:drawing>
      </w:r>
      <w:r w:rsidRPr="00026324">
        <w:rPr>
          <w:rFonts w:ascii="Open Sans" w:eastAsia="Times New Roman" w:hAnsi="Open Sans" w:cs="Open Sans"/>
          <w:color w:val="444444"/>
          <w:kern w:val="0"/>
          <w:sz w:val="21"/>
          <w:szCs w:val="21"/>
          <w:lang w:eastAsia="ru-RU"/>
          <w14:ligatures w14:val="none"/>
        </w:rPr>
        <w:t>                                                     (10.40)</w:t>
      </w:r>
      <w:r w:rsidRPr="00026324">
        <w:rPr>
          <w:rFonts w:ascii="Open Sans" w:eastAsia="Times New Roman" w:hAnsi="Open Sans" w:cs="Open Sans"/>
          <w:color w:val="444444"/>
          <w:kern w:val="0"/>
          <w:sz w:val="21"/>
          <w:szCs w:val="21"/>
          <w:lang w:eastAsia="ru-RU"/>
          <w14:ligatures w14:val="none"/>
        </w:rPr>
        <w:br/>
        <w:t>где λ0 — длина свободного пробега молекул, м. Условие (10.40) согласуется с основным критерием свободномолекулярного режима течения газа.</w:t>
      </w:r>
      <w:r w:rsidRPr="00026324">
        <w:rPr>
          <w:rFonts w:ascii="Open Sans" w:eastAsia="Times New Roman" w:hAnsi="Open Sans" w:cs="Open Sans"/>
          <w:color w:val="444444"/>
          <w:kern w:val="0"/>
          <w:sz w:val="21"/>
          <w:szCs w:val="21"/>
          <w:lang w:eastAsia="ru-RU"/>
          <w14:ligatures w14:val="none"/>
        </w:rPr>
        <w:br/>
        <w:t>С учетом (10.39) система дифференциальных уравнений для молекулярного режима истечения газа имеет вид</w:t>
      </w:r>
      <w:r w:rsidRPr="00026324">
        <w:rPr>
          <w:rFonts w:ascii="Open Sans" w:eastAsia="Times New Roman" w:hAnsi="Open Sans" w:cs="Open Sans"/>
          <w:color w:val="444444"/>
          <w:kern w:val="0"/>
          <w:sz w:val="21"/>
          <w:szCs w:val="21"/>
          <w:lang w:eastAsia="ru-RU"/>
          <w14:ligatures w14:val="none"/>
        </w:rPr>
        <w:br/>
      </w:r>
      <w:r w:rsidRPr="00026324">
        <w:rPr>
          <w:rFonts w:ascii="Open Sans" w:eastAsia="Times New Roman" w:hAnsi="Open Sans" w:cs="Open Sans"/>
          <w:noProof/>
          <w:color w:val="444444"/>
          <w:kern w:val="0"/>
          <w:sz w:val="21"/>
          <w:szCs w:val="21"/>
          <w:lang w:eastAsia="ru-RU"/>
          <w14:ligatures w14:val="none"/>
        </w:rPr>
        <w:drawing>
          <wp:inline distT="0" distB="0" distL="0" distR="0" wp14:anchorId="1F9A8198" wp14:editId="5CF48BA0">
            <wp:extent cx="1409700" cy="388620"/>
            <wp:effectExtent l="0" t="0" r="0" b="0"/>
            <wp:docPr id="1151653938"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409700" cy="388620"/>
                    </a:xfrm>
                    <a:prstGeom prst="rect">
                      <a:avLst/>
                    </a:prstGeom>
                    <a:noFill/>
                    <a:ln>
                      <a:noFill/>
                    </a:ln>
                  </pic:spPr>
                </pic:pic>
              </a:graphicData>
            </a:graphic>
          </wp:inline>
        </w:drawing>
      </w:r>
      <w:r w:rsidRPr="00026324">
        <w:rPr>
          <w:rFonts w:ascii="Open Sans" w:eastAsia="Times New Roman" w:hAnsi="Open Sans" w:cs="Open Sans"/>
          <w:color w:val="444444"/>
          <w:kern w:val="0"/>
          <w:sz w:val="21"/>
          <w:szCs w:val="21"/>
          <w:lang w:eastAsia="ru-RU"/>
          <w14:ligatures w14:val="none"/>
        </w:rPr>
        <w:t>                                           (10.41)</w:t>
      </w:r>
      <w:r w:rsidRPr="00026324">
        <w:rPr>
          <w:rFonts w:ascii="Open Sans" w:eastAsia="Times New Roman" w:hAnsi="Open Sans" w:cs="Open Sans"/>
          <w:color w:val="444444"/>
          <w:kern w:val="0"/>
          <w:sz w:val="21"/>
          <w:szCs w:val="21"/>
          <w:lang w:eastAsia="ru-RU"/>
          <w14:ligatures w14:val="none"/>
        </w:rPr>
        <w:br/>
      </w:r>
      <w:r w:rsidRPr="00026324">
        <w:rPr>
          <w:rFonts w:ascii="Open Sans" w:eastAsia="Times New Roman" w:hAnsi="Open Sans" w:cs="Open Sans"/>
          <w:noProof/>
          <w:color w:val="444444"/>
          <w:kern w:val="0"/>
          <w:sz w:val="21"/>
          <w:szCs w:val="21"/>
          <w:lang w:eastAsia="ru-RU"/>
          <w14:ligatures w14:val="none"/>
        </w:rPr>
        <w:drawing>
          <wp:inline distT="0" distB="0" distL="0" distR="0" wp14:anchorId="056A694E" wp14:editId="489B620C">
            <wp:extent cx="1714500" cy="388620"/>
            <wp:effectExtent l="0" t="0" r="0" b="0"/>
            <wp:docPr id="315326310"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714500" cy="388620"/>
                    </a:xfrm>
                    <a:prstGeom prst="rect">
                      <a:avLst/>
                    </a:prstGeom>
                    <a:noFill/>
                    <a:ln>
                      <a:noFill/>
                    </a:ln>
                  </pic:spPr>
                </pic:pic>
              </a:graphicData>
            </a:graphic>
          </wp:inline>
        </w:drawing>
      </w:r>
      <w:r w:rsidRPr="00026324">
        <w:rPr>
          <w:rFonts w:ascii="Open Sans" w:eastAsia="Times New Roman" w:hAnsi="Open Sans" w:cs="Open Sans"/>
          <w:color w:val="444444"/>
          <w:kern w:val="0"/>
          <w:sz w:val="21"/>
          <w:szCs w:val="21"/>
          <w:lang w:eastAsia="ru-RU"/>
          <w14:ligatures w14:val="none"/>
        </w:rPr>
        <w:t>                                        (10.42)</w:t>
      </w:r>
      <w:r w:rsidRPr="00026324">
        <w:rPr>
          <w:rFonts w:ascii="Open Sans" w:eastAsia="Times New Roman" w:hAnsi="Open Sans" w:cs="Open Sans"/>
          <w:color w:val="444444"/>
          <w:kern w:val="0"/>
          <w:sz w:val="21"/>
          <w:szCs w:val="21"/>
          <w:lang w:eastAsia="ru-RU"/>
          <w14:ligatures w14:val="none"/>
        </w:rPr>
        <w:br/>
      </w:r>
      <w:r w:rsidRPr="00026324">
        <w:rPr>
          <w:rFonts w:ascii="Open Sans" w:eastAsia="Times New Roman" w:hAnsi="Open Sans" w:cs="Open Sans"/>
          <w:noProof/>
          <w:color w:val="444444"/>
          <w:kern w:val="0"/>
          <w:sz w:val="21"/>
          <w:szCs w:val="21"/>
          <w:lang w:eastAsia="ru-RU"/>
          <w14:ligatures w14:val="none"/>
        </w:rPr>
        <w:lastRenderedPageBreak/>
        <w:drawing>
          <wp:inline distT="0" distB="0" distL="0" distR="0" wp14:anchorId="5E569AF1" wp14:editId="0DB97CFD">
            <wp:extent cx="2057400" cy="1600200"/>
            <wp:effectExtent l="0" t="0" r="0" b="0"/>
            <wp:docPr id="99818532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057400" cy="1600200"/>
                    </a:xfrm>
                    <a:prstGeom prst="rect">
                      <a:avLst/>
                    </a:prstGeom>
                    <a:noFill/>
                    <a:ln>
                      <a:noFill/>
                    </a:ln>
                  </pic:spPr>
                </pic:pic>
              </a:graphicData>
            </a:graphic>
          </wp:inline>
        </w:drawing>
      </w:r>
      <w:r w:rsidRPr="00026324">
        <w:rPr>
          <w:rFonts w:ascii="Open Sans" w:eastAsia="Times New Roman" w:hAnsi="Open Sans" w:cs="Open Sans"/>
          <w:color w:val="444444"/>
          <w:kern w:val="0"/>
          <w:sz w:val="21"/>
          <w:szCs w:val="21"/>
          <w:lang w:eastAsia="ru-RU"/>
          <w14:ligatures w14:val="none"/>
        </w:rPr>
        <w:br/>
        <w:t>Рис. 10.28. Динамические характеристики масс-спектрометрических систем</w:t>
      </w:r>
    </w:p>
    <w:p w14:paraId="40985754" w14:textId="77777777" w:rsidR="00026324" w:rsidRPr="00026324" w:rsidRDefault="00026324" w:rsidP="00026324">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026324">
        <w:rPr>
          <w:rFonts w:ascii="Open Sans" w:eastAsia="Times New Roman" w:hAnsi="Open Sans" w:cs="Open Sans"/>
          <w:color w:val="444444"/>
          <w:kern w:val="0"/>
          <w:sz w:val="21"/>
          <w:szCs w:val="21"/>
          <w:lang w:eastAsia="ru-RU"/>
          <w14:ligatures w14:val="none"/>
        </w:rPr>
        <w:t>Уравнения (10.41), (10.42) служат математической моделью проточных масс-спектрометрических устройств, о которых говорилось выше.</w:t>
      </w:r>
      <w:r w:rsidRPr="00026324">
        <w:rPr>
          <w:rFonts w:ascii="Open Sans" w:eastAsia="Times New Roman" w:hAnsi="Open Sans" w:cs="Open Sans"/>
          <w:color w:val="444444"/>
          <w:kern w:val="0"/>
          <w:sz w:val="21"/>
          <w:szCs w:val="21"/>
          <w:lang w:eastAsia="ru-RU"/>
          <w14:ligatures w14:val="none"/>
        </w:rPr>
        <w:br/>
        <w:t>Анализ системы дифференциальных уравнений (10.41), (10.42) и соответствующих им графических зависимостей (рис. 10.28) позволил сделать вывод о том, что в рассматриваемых течеискательных системах в зависимости от соотношения величин A1/Vи и Sэ/Vк возможны различные виды динамических характеристик. При Sэ/Vк = 0 переходный процесс изменения парциального давления характеризуется монотонно возрастающей переходной характеристикой, достигающей максимального значения при t®¥ (кривая 1). Такой вид переходного процесса характерен для режима накопления, как одного из способов повышения чувствительности. При Sэ/Vк ¹ 0, A1/Vи = 0 графики переходного процесса имеют вид сложных кривых с максимумами при t = t2*, t = t3* (кривые 2, 3). Этот вид переходного процесса наиболее интересен для изучения. Поэтому важно выяснить условия, при которых достигается наибольшая крутизна начального участка динамической характеристики. При Sэ/Vк ®¥ переходный процесс является также монотонным, но убывающим (кривая 4). На практике этот вид переходного процесса не используется. Наконец, когда поток газа, поступающий через сквозной дефект в испытательную камеру, равен потоку газа, отбираемому из камеры откачным устройством, парциальное давление </w:t>
      </w:r>
      <w:r w:rsidRPr="00026324">
        <w:rPr>
          <w:rFonts w:ascii="Open Sans" w:eastAsia="Times New Roman" w:hAnsi="Open Sans" w:cs="Open Sans"/>
          <w:i/>
          <w:iCs/>
          <w:color w:val="DD0055"/>
          <w:kern w:val="0"/>
          <w:sz w:val="21"/>
          <w:szCs w:val="21"/>
          <w:lang w:eastAsia="ru-RU"/>
          <w14:ligatures w14:val="none"/>
        </w:rPr>
        <w:t>Р</w:t>
      </w:r>
      <w:r w:rsidRPr="00026324">
        <w:rPr>
          <w:rFonts w:ascii="Open Sans" w:eastAsia="Times New Roman" w:hAnsi="Open Sans" w:cs="Open Sans"/>
          <w:color w:val="444444"/>
          <w:kern w:val="0"/>
          <w:sz w:val="21"/>
          <w:szCs w:val="21"/>
          <w:lang w:eastAsia="ru-RU"/>
          <w14:ligatures w14:val="none"/>
        </w:rPr>
        <w:t>к остается на уровне </w:t>
      </w:r>
      <w:r w:rsidRPr="00026324">
        <w:rPr>
          <w:rFonts w:ascii="Open Sans" w:eastAsia="Times New Roman" w:hAnsi="Open Sans" w:cs="Open Sans"/>
          <w:i/>
          <w:iCs/>
          <w:color w:val="DD0055"/>
          <w:kern w:val="0"/>
          <w:sz w:val="21"/>
          <w:szCs w:val="21"/>
          <w:lang w:eastAsia="ru-RU"/>
          <w14:ligatures w14:val="none"/>
        </w:rPr>
        <w:t>Р</w:t>
      </w:r>
      <w:r w:rsidRPr="00026324">
        <w:rPr>
          <w:rFonts w:ascii="Open Sans" w:eastAsia="Times New Roman" w:hAnsi="Open Sans" w:cs="Open Sans"/>
          <w:color w:val="444444"/>
          <w:kern w:val="0"/>
          <w:sz w:val="21"/>
          <w:szCs w:val="21"/>
          <w:lang w:eastAsia="ru-RU"/>
          <w14:ligatures w14:val="none"/>
        </w:rPr>
        <w:t>к0. Этот случай, еще не реализованный на практике, тем не менее представляет собой интерес, так как оказывается принципиально возможным создание нулевого способа контроля герметичности изделий.</w:t>
      </w:r>
      <w:r w:rsidRPr="00026324">
        <w:rPr>
          <w:rFonts w:ascii="Open Sans" w:eastAsia="Times New Roman" w:hAnsi="Open Sans" w:cs="Open Sans"/>
          <w:color w:val="444444"/>
          <w:kern w:val="0"/>
          <w:sz w:val="21"/>
          <w:szCs w:val="21"/>
          <w:lang w:eastAsia="ru-RU"/>
          <w14:ligatures w14:val="none"/>
        </w:rPr>
        <w:br/>
        <w:t>Качественный вид характеристик, приведенных на рис. 10.27, является характерным для большинства течеискательных устройств, основанных на различных методах. Исследование математических моделей процессов изменения давления, динамических характеристик течеискательных устройств позволяет определить многие параметры процесса контроля, в том числе время контроля, постоянную времени и др.</w:t>
      </w:r>
      <w:r w:rsidRPr="00026324">
        <w:rPr>
          <w:rFonts w:ascii="Open Sans" w:eastAsia="Times New Roman" w:hAnsi="Open Sans" w:cs="Open Sans"/>
          <w:color w:val="444444"/>
          <w:kern w:val="0"/>
          <w:sz w:val="21"/>
          <w:szCs w:val="21"/>
          <w:lang w:eastAsia="ru-RU"/>
          <w14:ligatures w14:val="none"/>
        </w:rPr>
        <w:br/>
        <w:t>Выявляемость течей. В основе непредсказуемого перекрытия течей лежат эффекты взаимодействия внутренней поверхности течи с проходящими через них газообразными и жидкими средами за счет физической адсорбции, химических реакций и других процессов.</w:t>
      </w:r>
      <w:r w:rsidRPr="00026324">
        <w:rPr>
          <w:rFonts w:ascii="Open Sans" w:eastAsia="Times New Roman" w:hAnsi="Open Sans" w:cs="Open Sans"/>
          <w:color w:val="444444"/>
          <w:kern w:val="0"/>
          <w:sz w:val="21"/>
          <w:szCs w:val="21"/>
          <w:lang w:eastAsia="ru-RU"/>
          <w14:ligatures w14:val="none"/>
        </w:rPr>
        <w:br/>
        <w:t>На выявляемость течей значительное влияние оказывают остаточные напряжения, возникающие в конструктивных элементах, объектов, и деформация контролируемой оболочки. Как показывает опыт, даже в достаточно толстых и жестких оболочках течи могут изменять свои размеры и даже полностью закрываться в зависимости от изменения направления и значения испытательного давления. Поэтому в ответственных случаях для надежного выявления течей рекомендуется проводить испытания объектов в условиях, максимально приближенных к условиям их работы и хранения. Одной из наиболее распространенных причин возможного невыявления течей является их частичное или полное пере</w:t>
      </w:r>
      <w:r w:rsidRPr="00026324">
        <w:rPr>
          <w:rFonts w:ascii="Open Sans" w:eastAsia="Times New Roman" w:hAnsi="Open Sans" w:cs="Open Sans"/>
          <w:color w:val="444444"/>
          <w:kern w:val="0"/>
          <w:sz w:val="21"/>
          <w:szCs w:val="21"/>
          <w:lang w:eastAsia="ru-RU"/>
          <w14:ligatures w14:val="none"/>
        </w:rPr>
        <w:softHyphen/>
        <w:t xml:space="preserve">крытие частицами жидкости. Это особенно часто проявляется при жидкостных испытаниях. Эксперименты показали, что течи могут находиться в закупоренном состоянии длительное время — от нескольких недель до нескольких месяцев. В связи с </w:t>
      </w:r>
      <w:r w:rsidRPr="00026324">
        <w:rPr>
          <w:rFonts w:ascii="Open Sans" w:eastAsia="Times New Roman" w:hAnsi="Open Sans" w:cs="Open Sans"/>
          <w:color w:val="444444"/>
          <w:kern w:val="0"/>
          <w:sz w:val="21"/>
          <w:szCs w:val="21"/>
          <w:lang w:eastAsia="ru-RU"/>
          <w14:ligatures w14:val="none"/>
        </w:rPr>
        <w:lastRenderedPageBreak/>
        <w:t>этим всегда, когда этому не препятствуют какие-либо технологические факторы, необходимо переходить от жидкостных методов контроля герметичности к газовым.</w:t>
      </w:r>
    </w:p>
    <w:p w14:paraId="3D93A22F" w14:textId="77777777" w:rsidR="00C01B91" w:rsidRDefault="00C01B91"/>
    <w:sectPr w:rsidR="00C01B9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1B91"/>
    <w:rsid w:val="00026324"/>
    <w:rsid w:val="00C01B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2D0CF0"/>
  <w15:chartTrackingRefBased/>
  <w15:docId w15:val="{23472393-92BD-4241-9F17-EC42258C45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2">
    <w:name w:val="heading 2"/>
    <w:basedOn w:val="a"/>
    <w:link w:val="20"/>
    <w:uiPriority w:val="9"/>
    <w:qFormat/>
    <w:rsid w:val="00026324"/>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026324"/>
    <w:rPr>
      <w:rFonts w:ascii="Times New Roman" w:eastAsia="Times New Roman" w:hAnsi="Times New Roman" w:cs="Times New Roman"/>
      <w:b/>
      <w:bCs/>
      <w:kern w:val="0"/>
      <w:sz w:val="36"/>
      <w:szCs w:val="36"/>
      <w:lang w:eastAsia="ru-RU"/>
      <w14:ligatures w14:val="none"/>
    </w:rPr>
  </w:style>
  <w:style w:type="paragraph" w:styleId="a3">
    <w:name w:val="Normal (Web)"/>
    <w:basedOn w:val="a"/>
    <w:uiPriority w:val="99"/>
    <w:semiHidden/>
    <w:unhideWhenUsed/>
    <w:rsid w:val="00026324"/>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styleId="a4">
    <w:name w:val="Emphasis"/>
    <w:basedOn w:val="a0"/>
    <w:uiPriority w:val="20"/>
    <w:qFormat/>
    <w:rsid w:val="00026324"/>
    <w:rPr>
      <w:i/>
      <w:iCs/>
    </w:rPr>
  </w:style>
  <w:style w:type="character" w:styleId="a5">
    <w:name w:val="Hyperlink"/>
    <w:basedOn w:val="a0"/>
    <w:uiPriority w:val="99"/>
    <w:semiHidden/>
    <w:unhideWhenUsed/>
    <w:rsid w:val="0002632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4443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gif"/><Relationship Id="rId13" Type="http://schemas.openxmlformats.org/officeDocument/2006/relationships/image" Target="media/image10.gif"/><Relationship Id="rId18" Type="http://schemas.openxmlformats.org/officeDocument/2006/relationships/image" Target="media/image15.jpeg"/><Relationship Id="rId26" Type="http://schemas.openxmlformats.org/officeDocument/2006/relationships/image" Target="media/image22.gif"/><Relationship Id="rId3" Type="http://schemas.openxmlformats.org/officeDocument/2006/relationships/webSettings" Target="webSettings.xml"/><Relationship Id="rId21" Type="http://schemas.openxmlformats.org/officeDocument/2006/relationships/hyperlink" Target="https://www.vactron.org/index.php/techeiskanie/portativnyj-gelievyj-techeiskatel" TargetMode="External"/><Relationship Id="rId7" Type="http://schemas.openxmlformats.org/officeDocument/2006/relationships/image" Target="media/image4.gif"/><Relationship Id="rId12" Type="http://schemas.openxmlformats.org/officeDocument/2006/relationships/image" Target="media/image9.gif"/><Relationship Id="rId17" Type="http://schemas.openxmlformats.org/officeDocument/2006/relationships/image" Target="media/image14.gif"/><Relationship Id="rId25" Type="http://schemas.openxmlformats.org/officeDocument/2006/relationships/image" Target="media/image21.gif"/><Relationship Id="rId2" Type="http://schemas.openxmlformats.org/officeDocument/2006/relationships/settings" Target="settings.xml"/><Relationship Id="rId16" Type="http://schemas.openxmlformats.org/officeDocument/2006/relationships/image" Target="media/image13.gif"/><Relationship Id="rId20" Type="http://schemas.openxmlformats.org/officeDocument/2006/relationships/image" Target="media/image17.jpeg"/><Relationship Id="rId29" Type="http://schemas.openxmlformats.org/officeDocument/2006/relationships/image" Target="media/image25.gif"/><Relationship Id="rId1" Type="http://schemas.openxmlformats.org/officeDocument/2006/relationships/styles" Target="styles.xml"/><Relationship Id="rId6" Type="http://schemas.openxmlformats.org/officeDocument/2006/relationships/image" Target="media/image3.gif"/><Relationship Id="rId11" Type="http://schemas.openxmlformats.org/officeDocument/2006/relationships/image" Target="media/image8.gif"/><Relationship Id="rId24" Type="http://schemas.openxmlformats.org/officeDocument/2006/relationships/image" Target="media/image20.gif"/><Relationship Id="rId32" Type="http://schemas.openxmlformats.org/officeDocument/2006/relationships/theme" Target="theme/theme1.xml"/><Relationship Id="rId5" Type="http://schemas.openxmlformats.org/officeDocument/2006/relationships/image" Target="media/image2.gif"/><Relationship Id="rId15" Type="http://schemas.openxmlformats.org/officeDocument/2006/relationships/image" Target="media/image12.gif"/><Relationship Id="rId23" Type="http://schemas.openxmlformats.org/officeDocument/2006/relationships/image" Target="media/image19.gif"/><Relationship Id="rId28" Type="http://schemas.openxmlformats.org/officeDocument/2006/relationships/image" Target="media/image24.gif"/><Relationship Id="rId10" Type="http://schemas.openxmlformats.org/officeDocument/2006/relationships/image" Target="media/image7.gif"/><Relationship Id="rId19" Type="http://schemas.openxmlformats.org/officeDocument/2006/relationships/image" Target="media/image16.jpeg"/><Relationship Id="rId31"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gif"/><Relationship Id="rId14" Type="http://schemas.openxmlformats.org/officeDocument/2006/relationships/image" Target="media/image11.gif"/><Relationship Id="rId22" Type="http://schemas.openxmlformats.org/officeDocument/2006/relationships/image" Target="media/image18.gif"/><Relationship Id="rId27" Type="http://schemas.openxmlformats.org/officeDocument/2006/relationships/image" Target="media/image23.gif"/><Relationship Id="rId30" Type="http://schemas.openxmlformats.org/officeDocument/2006/relationships/image" Target="media/image26.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2233</Words>
  <Characters>12730</Characters>
  <Application>Microsoft Office Word</Application>
  <DocSecurity>0</DocSecurity>
  <Lines>106</Lines>
  <Paragraphs>29</Paragraphs>
  <ScaleCrop>false</ScaleCrop>
  <Company/>
  <LinksUpToDate>false</LinksUpToDate>
  <CharactersWithSpaces>14934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Тергенбаева Дамира [AMP]</dc:creator>
  <cp:keywords/>
  <dc:description/>
  <cp:lastModifiedBy>Тергенбаева Дамира [AMP]</cp:lastModifiedBy>
  <cp:revision>2</cp:revision>
  <dcterms:created xsi:type="dcterms:W3CDTF">2024-01-03T06:29:00Z</dcterms:created>
  <dcterms:modified xsi:type="dcterms:W3CDTF">2024-01-03T06:29:00Z</dcterms:modified>
</cp:coreProperties>
</file>